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1A" w:rsidRDefault="00C35E71" w:rsidP="00125E1A">
      <w:pPr>
        <w:spacing w:line="276" w:lineRule="auto"/>
        <w:jc w:val="center"/>
        <w:rPr>
          <w:rFonts w:ascii="Times New Roman" w:hAnsi="Times New Roman"/>
          <w:b/>
          <w:bCs/>
        </w:rPr>
      </w:pPr>
      <w:r>
        <w:rPr>
          <w:rFonts w:ascii="Times New Roman" w:hAnsi="Times New Roman"/>
          <w:b/>
          <w:bCs/>
        </w:rPr>
        <w:t>BAB I</w:t>
      </w:r>
    </w:p>
    <w:p w:rsidR="00C35E71" w:rsidRDefault="00C35E71" w:rsidP="00125E1A">
      <w:pPr>
        <w:spacing w:line="276" w:lineRule="auto"/>
        <w:jc w:val="center"/>
        <w:rPr>
          <w:rFonts w:ascii="Times New Roman" w:hAnsi="Times New Roman"/>
          <w:b/>
          <w:bCs/>
        </w:rPr>
      </w:pPr>
      <w:r>
        <w:rPr>
          <w:rFonts w:ascii="Times New Roman" w:hAnsi="Times New Roman"/>
          <w:b/>
          <w:bCs/>
        </w:rPr>
        <w:t>PENDAHULUAN</w:t>
      </w:r>
    </w:p>
    <w:p w:rsidR="004C1024" w:rsidRPr="00C97B6D" w:rsidRDefault="004C1024" w:rsidP="00125E1A">
      <w:pPr>
        <w:spacing w:line="276" w:lineRule="auto"/>
        <w:jc w:val="center"/>
        <w:rPr>
          <w:rFonts w:ascii="Times New Roman" w:hAnsi="Times New Roman"/>
          <w:b/>
          <w:bCs/>
        </w:rPr>
      </w:pPr>
    </w:p>
    <w:p w:rsidR="00125E1A" w:rsidRPr="00C97B6D" w:rsidRDefault="00125E1A" w:rsidP="00125E1A">
      <w:pPr>
        <w:spacing w:line="276" w:lineRule="auto"/>
        <w:rPr>
          <w:rFonts w:ascii="Times New Roman" w:hAnsi="Times New Roman"/>
        </w:rPr>
      </w:pPr>
    </w:p>
    <w:p w:rsidR="00125E1A" w:rsidRDefault="00125E1A" w:rsidP="009D60EA">
      <w:pPr>
        <w:pStyle w:val="ListParagraph"/>
        <w:numPr>
          <w:ilvl w:val="0"/>
          <w:numId w:val="1"/>
        </w:numPr>
        <w:spacing w:line="360" w:lineRule="auto"/>
        <w:ind w:left="426" w:hanging="426"/>
        <w:contextualSpacing/>
        <w:rPr>
          <w:rFonts w:ascii="Times New Roman" w:hAnsi="Times New Roman"/>
          <w:b/>
          <w:bCs/>
        </w:rPr>
      </w:pPr>
      <w:r w:rsidRPr="00125E1A">
        <w:rPr>
          <w:rFonts w:ascii="Times New Roman" w:hAnsi="Times New Roman"/>
          <w:b/>
          <w:bCs/>
        </w:rPr>
        <w:t>Latar Belakang Masalah</w:t>
      </w:r>
    </w:p>
    <w:p w:rsidR="009D60EA" w:rsidRDefault="009E44FF" w:rsidP="0036135C">
      <w:pPr>
        <w:pStyle w:val="ListParagraph"/>
        <w:spacing w:line="360" w:lineRule="auto"/>
        <w:ind w:left="0" w:firstLine="709"/>
        <w:contextualSpacing/>
        <w:jc w:val="both"/>
        <w:rPr>
          <w:rFonts w:ascii="Times New Roman" w:hAnsi="Times New Roman"/>
        </w:rPr>
      </w:pPr>
      <w:r>
        <w:rPr>
          <w:rFonts w:ascii="Times New Roman" w:hAnsi="Times New Roman"/>
        </w:rPr>
        <w:t xml:space="preserve">Di balik sukses yang mereka </w:t>
      </w:r>
      <w:r w:rsidR="0036135C">
        <w:rPr>
          <w:rFonts w:ascii="Times New Roman" w:hAnsi="Times New Roman"/>
        </w:rPr>
        <w:t xml:space="preserve">klaim, bank syariah </w:t>
      </w:r>
      <w:r>
        <w:rPr>
          <w:rFonts w:ascii="Times New Roman" w:hAnsi="Times New Roman"/>
        </w:rPr>
        <w:t xml:space="preserve">sesungguhnya menghadapi dilema besar yang terus membebani pertumbuhan dan perkembangannya. Di satu sisi mereka memiliki banyak ketentuan normatif yang </w:t>
      </w:r>
      <w:r w:rsidR="007942E7">
        <w:rPr>
          <w:rFonts w:ascii="Times New Roman" w:hAnsi="Times New Roman"/>
        </w:rPr>
        <w:t xml:space="preserve">yang berbeda dan tidak ‘lazim’ yang harus mereka patuhi, akan tetapi pada sisi yang lain mereka juga dituntut untuk beroperasi layaknya institusi perbankan dan bahkan harus mampu bersaing dengan bank konvensional. Ketentuan normatif tersebut, yang diklaim sebagai </w:t>
      </w:r>
      <w:r w:rsidR="00356EE0">
        <w:rPr>
          <w:rFonts w:ascii="Times New Roman" w:hAnsi="Times New Roman"/>
        </w:rPr>
        <w:t xml:space="preserve">manifestasi dari </w:t>
      </w:r>
      <w:r w:rsidR="007942E7">
        <w:rPr>
          <w:rFonts w:ascii="Times New Roman" w:hAnsi="Times New Roman"/>
        </w:rPr>
        <w:t>nilai-nilai syariah</w:t>
      </w:r>
      <w:r w:rsidR="00356EE0">
        <w:rPr>
          <w:rFonts w:ascii="Times New Roman" w:hAnsi="Times New Roman"/>
        </w:rPr>
        <w:t xml:space="preserve">, dalam konteks perbankan cukup membebani dan membatasi ruang gerak </w:t>
      </w:r>
      <w:r w:rsidR="0036135C">
        <w:rPr>
          <w:rFonts w:ascii="Times New Roman" w:hAnsi="Times New Roman"/>
        </w:rPr>
        <w:t>mereka</w:t>
      </w:r>
      <w:r w:rsidR="008A7F3F">
        <w:rPr>
          <w:rFonts w:ascii="Times New Roman" w:hAnsi="Times New Roman"/>
        </w:rPr>
        <w:t>.</w:t>
      </w:r>
      <w:r w:rsidR="0036135C">
        <w:rPr>
          <w:rFonts w:ascii="Times New Roman" w:hAnsi="Times New Roman"/>
        </w:rPr>
        <w:t xml:space="preserve"> Mulai dari par</w:t>
      </w:r>
      <w:r w:rsidR="0004205B">
        <w:rPr>
          <w:rFonts w:ascii="Times New Roman" w:hAnsi="Times New Roman"/>
        </w:rPr>
        <w:t>a</w:t>
      </w:r>
      <w:r w:rsidR="0036135C">
        <w:rPr>
          <w:rFonts w:ascii="Times New Roman" w:hAnsi="Times New Roman"/>
        </w:rPr>
        <w:t>digma penciptaan dan pengembangan produk, seperti bebas bunga</w:t>
      </w:r>
      <w:r w:rsidR="00A91CE0">
        <w:rPr>
          <w:rStyle w:val="FootnoteReference"/>
          <w:rFonts w:ascii="Times New Roman" w:hAnsi="Times New Roman"/>
        </w:rPr>
        <w:footnoteReference w:id="1"/>
      </w:r>
      <w:r w:rsidR="0036135C">
        <w:rPr>
          <w:rFonts w:ascii="Times New Roman" w:hAnsi="Times New Roman"/>
        </w:rPr>
        <w:t xml:space="preserve"> dan berbasis pada akad muamalah fiqhiyyah</w:t>
      </w:r>
      <w:r w:rsidR="004D2AF1">
        <w:rPr>
          <w:rFonts w:ascii="Times New Roman" w:hAnsi="Times New Roman"/>
        </w:rPr>
        <w:t xml:space="preserve"> yang mendasari semua produk</w:t>
      </w:r>
      <w:r w:rsidR="0036135C">
        <w:rPr>
          <w:rFonts w:ascii="Times New Roman" w:hAnsi="Times New Roman"/>
        </w:rPr>
        <w:t>,</w:t>
      </w:r>
      <w:r w:rsidR="00A91CE0">
        <w:rPr>
          <w:rStyle w:val="FootnoteReference"/>
          <w:rFonts w:ascii="Times New Roman" w:hAnsi="Times New Roman"/>
        </w:rPr>
        <w:footnoteReference w:id="2"/>
      </w:r>
      <w:r w:rsidR="0036135C">
        <w:rPr>
          <w:rFonts w:ascii="Times New Roman" w:hAnsi="Times New Roman"/>
        </w:rPr>
        <w:t xml:space="preserve"> hingga ketentuan normatif</w:t>
      </w:r>
      <w:r w:rsidR="004D2AF1">
        <w:rPr>
          <w:rFonts w:ascii="Times New Roman" w:hAnsi="Times New Roman"/>
        </w:rPr>
        <w:t xml:space="preserve"> spesifik berkenaan dengan basis akadnya tersebut, seperti keharusan obyek akad telah dimiliki oleh pihak bank dalam akad </w:t>
      </w:r>
      <w:r w:rsidR="004D2AF1" w:rsidRPr="0004205B">
        <w:rPr>
          <w:rFonts w:ascii="Times New Roman" w:hAnsi="Times New Roman"/>
          <w:i/>
          <w:iCs/>
        </w:rPr>
        <w:t>murabahah</w:t>
      </w:r>
      <w:r w:rsidR="004D2AF1">
        <w:rPr>
          <w:rFonts w:ascii="Times New Roman" w:hAnsi="Times New Roman"/>
        </w:rPr>
        <w:t xml:space="preserve"> dan keharusan modal seratus persen dari pihak bank dalam akad pembiayaan yang berbasis </w:t>
      </w:r>
      <w:r w:rsidR="004D2AF1" w:rsidRPr="0004205B">
        <w:rPr>
          <w:rFonts w:ascii="Times New Roman" w:hAnsi="Times New Roman"/>
          <w:i/>
          <w:iCs/>
        </w:rPr>
        <w:t>mudarabah</w:t>
      </w:r>
      <w:r w:rsidR="004D2AF1">
        <w:rPr>
          <w:rFonts w:ascii="Times New Roman" w:hAnsi="Times New Roman"/>
        </w:rPr>
        <w:t>.</w:t>
      </w:r>
    </w:p>
    <w:p w:rsidR="00D31D76" w:rsidRDefault="00D31D76" w:rsidP="00225ABF">
      <w:pPr>
        <w:pStyle w:val="ListParagraph"/>
        <w:spacing w:line="360" w:lineRule="auto"/>
        <w:ind w:left="0" w:firstLine="709"/>
        <w:contextualSpacing/>
        <w:jc w:val="both"/>
        <w:rPr>
          <w:rFonts w:ascii="Times New Roman" w:hAnsi="Times New Roman"/>
        </w:rPr>
      </w:pPr>
      <w:r>
        <w:rPr>
          <w:rFonts w:ascii="Times New Roman" w:hAnsi="Times New Roman"/>
        </w:rPr>
        <w:t>Lebih dari itu, produk bank syariah sebagian besar ber</w:t>
      </w:r>
      <w:r w:rsidR="001E17FE">
        <w:rPr>
          <w:rFonts w:ascii="Times New Roman" w:hAnsi="Times New Roman"/>
        </w:rPr>
        <w:t>m</w:t>
      </w:r>
      <w:r>
        <w:rPr>
          <w:rFonts w:ascii="Times New Roman" w:hAnsi="Times New Roman"/>
        </w:rPr>
        <w:t>asalah jika dilihat dari perspektif hukum ekonomi syariah (fikih muamalah).</w:t>
      </w:r>
      <w:r w:rsidR="00B05689">
        <w:rPr>
          <w:rStyle w:val="FootnoteReference"/>
          <w:rFonts w:ascii="Times New Roman" w:hAnsi="Times New Roman"/>
        </w:rPr>
        <w:footnoteReference w:id="3"/>
      </w:r>
      <w:r>
        <w:rPr>
          <w:rFonts w:ascii="Times New Roman" w:hAnsi="Times New Roman"/>
        </w:rPr>
        <w:t xml:space="preserve"> Produk-produk pembiayaan berbasis </w:t>
      </w:r>
      <w:r w:rsidRPr="00B05689">
        <w:rPr>
          <w:rFonts w:ascii="Times New Roman" w:hAnsi="Times New Roman"/>
          <w:i/>
          <w:iCs/>
        </w:rPr>
        <w:t>murabahah</w:t>
      </w:r>
      <w:r>
        <w:rPr>
          <w:rFonts w:ascii="Times New Roman" w:hAnsi="Times New Roman"/>
        </w:rPr>
        <w:t xml:space="preserve">, misalnya, dianggap bermasalah </w:t>
      </w:r>
      <w:r w:rsidR="00FD4952">
        <w:rPr>
          <w:rFonts w:ascii="Times New Roman" w:hAnsi="Times New Roman"/>
        </w:rPr>
        <w:t xml:space="preserve">di antaranya karena dengan model akad </w:t>
      </w:r>
      <w:r w:rsidR="00FD4952" w:rsidRPr="00B05689">
        <w:rPr>
          <w:rFonts w:ascii="Times New Roman" w:hAnsi="Times New Roman"/>
          <w:i/>
          <w:iCs/>
        </w:rPr>
        <w:t>murabahah bi al-wakalah</w:t>
      </w:r>
      <w:r w:rsidR="00FD4952">
        <w:rPr>
          <w:rFonts w:ascii="Times New Roman" w:hAnsi="Times New Roman"/>
        </w:rPr>
        <w:t xml:space="preserve"> menjadikan produk-produk tersebut substansinya tidak ada ubahnya dengan hutang piutang atau kredit </w:t>
      </w:r>
      <w:r w:rsidR="00FD4952">
        <w:rPr>
          <w:rFonts w:ascii="Times New Roman" w:hAnsi="Times New Roman"/>
        </w:rPr>
        <w:lastRenderedPageBreak/>
        <w:t>sebagaimana di bank konvensional.</w:t>
      </w:r>
      <w:r w:rsidR="00F85E8F">
        <w:rPr>
          <w:rStyle w:val="FootnoteReference"/>
          <w:rFonts w:ascii="Times New Roman" w:hAnsi="Times New Roman"/>
        </w:rPr>
        <w:footnoteReference w:id="4"/>
      </w:r>
      <w:r w:rsidR="00FD4952">
        <w:rPr>
          <w:rFonts w:ascii="Times New Roman" w:hAnsi="Times New Roman"/>
        </w:rPr>
        <w:t xml:space="preserve"> Jika di bank konvensional kredit dibebani bunga, maka di bank syariah pembiayaan dibebani dengan margin.</w:t>
      </w:r>
      <w:r w:rsidR="000C1448">
        <w:rPr>
          <w:rFonts w:ascii="Times New Roman" w:hAnsi="Times New Roman"/>
        </w:rPr>
        <w:t xml:space="preserve"> Bunga dan margin dalam konteks ini substansinya hampir sama bila ukurannya riba sebagaimana yang didefinisikan dalam kitab-kitab tafsir dan fikih. Bahkan konsep </w:t>
      </w:r>
      <w:r w:rsidR="000C1448" w:rsidRPr="00F85E8F">
        <w:rPr>
          <w:rFonts w:ascii="Times New Roman" w:hAnsi="Times New Roman"/>
          <w:i/>
          <w:iCs/>
        </w:rPr>
        <w:t>bay’ al-murabahah</w:t>
      </w:r>
      <w:r w:rsidR="000C1448">
        <w:rPr>
          <w:rFonts w:ascii="Times New Roman" w:hAnsi="Times New Roman"/>
        </w:rPr>
        <w:t xml:space="preserve"> sendiri sesungguhnya sudah kontroversial di kalangan para ulama fikih</w:t>
      </w:r>
      <w:r w:rsidR="001E17FE">
        <w:rPr>
          <w:rFonts w:ascii="Times New Roman" w:hAnsi="Times New Roman"/>
        </w:rPr>
        <w:t>, karena sebagian mereka menganggap kelebihan harga tersebut tidak ada bedanya dengan riba.</w:t>
      </w:r>
      <w:r w:rsidR="00BD3C50">
        <w:rPr>
          <w:rStyle w:val="FootnoteReference"/>
          <w:rFonts w:ascii="Times New Roman" w:hAnsi="Times New Roman"/>
        </w:rPr>
        <w:footnoteReference w:id="5"/>
      </w:r>
    </w:p>
    <w:p w:rsidR="001E17FE" w:rsidRDefault="001E17FE" w:rsidP="00F973AF">
      <w:pPr>
        <w:pStyle w:val="ListParagraph"/>
        <w:spacing w:line="360" w:lineRule="auto"/>
        <w:ind w:left="0" w:firstLine="709"/>
        <w:contextualSpacing/>
        <w:jc w:val="both"/>
        <w:rPr>
          <w:rFonts w:ascii="Times New Roman" w:hAnsi="Times New Roman"/>
        </w:rPr>
      </w:pPr>
      <w:r>
        <w:rPr>
          <w:rFonts w:ascii="Times New Roman" w:hAnsi="Times New Roman"/>
        </w:rPr>
        <w:t xml:space="preserve">Contoh lainnya adalah produk-produk pembiayaan yang berbasis bagi hasil, baik dengan skema </w:t>
      </w:r>
      <w:r w:rsidRPr="00D66523">
        <w:rPr>
          <w:rFonts w:ascii="Times New Roman" w:hAnsi="Times New Roman"/>
          <w:i/>
          <w:iCs/>
        </w:rPr>
        <w:t>musyarakah</w:t>
      </w:r>
      <w:r>
        <w:rPr>
          <w:rFonts w:ascii="Times New Roman" w:hAnsi="Times New Roman"/>
        </w:rPr>
        <w:t xml:space="preserve"> ataupun </w:t>
      </w:r>
      <w:r w:rsidRPr="00D66523">
        <w:rPr>
          <w:rFonts w:ascii="Times New Roman" w:hAnsi="Times New Roman"/>
          <w:i/>
          <w:iCs/>
        </w:rPr>
        <w:t>mudarabah</w:t>
      </w:r>
      <w:r>
        <w:rPr>
          <w:rFonts w:ascii="Times New Roman" w:hAnsi="Times New Roman"/>
        </w:rPr>
        <w:t xml:space="preserve">. Produk-produk ini dianggap bermasalah karena praktiknya selama ini hanya siap berbagi </w:t>
      </w:r>
      <w:r w:rsidR="00F973AF">
        <w:rPr>
          <w:rFonts w:ascii="Times New Roman" w:hAnsi="Times New Roman"/>
        </w:rPr>
        <w:t>untung</w:t>
      </w:r>
      <w:r>
        <w:rPr>
          <w:rFonts w:ascii="Times New Roman" w:hAnsi="Times New Roman"/>
        </w:rPr>
        <w:t xml:space="preserve">, tetapi tidak siap untuk menanggung juga kerugian </w:t>
      </w:r>
      <w:r w:rsidR="0008784C">
        <w:rPr>
          <w:rFonts w:ascii="Times New Roman" w:hAnsi="Times New Roman"/>
        </w:rPr>
        <w:t xml:space="preserve">bersama-sama dengan </w:t>
      </w:r>
      <w:r>
        <w:rPr>
          <w:rFonts w:ascii="Times New Roman" w:hAnsi="Times New Roman"/>
        </w:rPr>
        <w:t xml:space="preserve">nasabahnya </w:t>
      </w:r>
      <w:r w:rsidRPr="00D66523">
        <w:rPr>
          <w:rFonts w:ascii="Times New Roman" w:hAnsi="Times New Roman"/>
          <w:i/>
          <w:iCs/>
        </w:rPr>
        <w:t>(mudarib)</w:t>
      </w:r>
      <w:r w:rsidR="0008784C">
        <w:rPr>
          <w:rFonts w:ascii="Times New Roman" w:hAnsi="Times New Roman"/>
        </w:rPr>
        <w:t xml:space="preserve">. Di samping hal itu disebabkan karena kesulitan teknis yang dihadapi oleh pihak bank, juga dikarenakan ketidakkonsistenan penerapan </w:t>
      </w:r>
      <w:r w:rsidR="0008784C" w:rsidRPr="00D66523">
        <w:rPr>
          <w:rFonts w:ascii="Times New Roman" w:hAnsi="Times New Roman"/>
          <w:i/>
          <w:iCs/>
        </w:rPr>
        <w:t>PLS (Profit and Loss Sharing)</w:t>
      </w:r>
      <w:r w:rsidR="0008784C">
        <w:rPr>
          <w:rFonts w:ascii="Times New Roman" w:hAnsi="Times New Roman"/>
        </w:rPr>
        <w:t xml:space="preserve"> dari produk ‘hulu sampai ke hilir’ (dari produk </w:t>
      </w:r>
      <w:r w:rsidR="0008784C" w:rsidRPr="00D66523">
        <w:rPr>
          <w:rFonts w:ascii="Times New Roman" w:hAnsi="Times New Roman"/>
          <w:i/>
          <w:iCs/>
        </w:rPr>
        <w:t>funding</w:t>
      </w:r>
      <w:r w:rsidR="0008784C">
        <w:rPr>
          <w:rFonts w:ascii="Times New Roman" w:hAnsi="Times New Roman"/>
        </w:rPr>
        <w:t xml:space="preserve"> sampai ke produk </w:t>
      </w:r>
      <w:r w:rsidR="0008784C" w:rsidRPr="00D66523">
        <w:rPr>
          <w:rFonts w:ascii="Times New Roman" w:hAnsi="Times New Roman"/>
          <w:i/>
          <w:iCs/>
        </w:rPr>
        <w:t>financing</w:t>
      </w:r>
      <w:r w:rsidR="0008784C">
        <w:rPr>
          <w:rFonts w:ascii="Times New Roman" w:hAnsi="Times New Roman"/>
        </w:rPr>
        <w:t xml:space="preserve">). </w:t>
      </w:r>
      <w:r w:rsidR="00862D85">
        <w:rPr>
          <w:rFonts w:ascii="Times New Roman" w:hAnsi="Times New Roman"/>
        </w:rPr>
        <w:t>Dalam p</w:t>
      </w:r>
      <w:r w:rsidR="0008784C">
        <w:rPr>
          <w:rFonts w:ascii="Times New Roman" w:hAnsi="Times New Roman"/>
        </w:rPr>
        <w:t xml:space="preserve">roduk </w:t>
      </w:r>
      <w:r w:rsidR="0008784C" w:rsidRPr="00D66523">
        <w:rPr>
          <w:rFonts w:ascii="Times New Roman" w:hAnsi="Times New Roman"/>
          <w:i/>
          <w:iCs/>
        </w:rPr>
        <w:t>funding</w:t>
      </w:r>
      <w:r w:rsidR="00862D85">
        <w:rPr>
          <w:rFonts w:ascii="Times New Roman" w:hAnsi="Times New Roman"/>
        </w:rPr>
        <w:t xml:space="preserve"> yang berbasis bagi hasil, seperti tabungan dan deposito </w:t>
      </w:r>
      <w:r w:rsidR="00862D85" w:rsidRPr="00D66523">
        <w:rPr>
          <w:rFonts w:ascii="Times New Roman" w:hAnsi="Times New Roman"/>
          <w:i/>
          <w:iCs/>
        </w:rPr>
        <w:t>mudarabah</w:t>
      </w:r>
      <w:r w:rsidR="00862D85">
        <w:rPr>
          <w:rFonts w:ascii="Times New Roman" w:hAnsi="Times New Roman"/>
        </w:rPr>
        <w:t xml:space="preserve">, dalam praktiknya selama ini bank syariah menjanjikan kepada nasabah pasti akan mendapatkan bagi hasil, artinya selalu untung. </w:t>
      </w:r>
      <w:r w:rsidR="00F47945">
        <w:rPr>
          <w:rFonts w:ascii="Times New Roman" w:hAnsi="Times New Roman"/>
        </w:rPr>
        <w:t xml:space="preserve">Dengan model semacam itu tentu saja tidak mungkin bagi bank syariah untuk berbagi kerugian dengan nasabah yang dibiayai, </w:t>
      </w:r>
      <w:r w:rsidR="00852B0C">
        <w:rPr>
          <w:rFonts w:ascii="Times New Roman" w:hAnsi="Times New Roman"/>
        </w:rPr>
        <w:t xml:space="preserve">karena jika hal itu dilakukan maka akan terjadi ketidakseimbangan antara skema </w:t>
      </w:r>
      <w:r w:rsidR="00852B0C" w:rsidRPr="00D66523">
        <w:rPr>
          <w:rFonts w:ascii="Times New Roman" w:hAnsi="Times New Roman"/>
          <w:i/>
          <w:iCs/>
        </w:rPr>
        <w:t>funding</w:t>
      </w:r>
      <w:r w:rsidR="00852B0C">
        <w:rPr>
          <w:rFonts w:ascii="Times New Roman" w:hAnsi="Times New Roman"/>
        </w:rPr>
        <w:t xml:space="preserve"> dengan skema </w:t>
      </w:r>
      <w:r w:rsidR="00852B0C" w:rsidRPr="00D66523">
        <w:rPr>
          <w:rFonts w:ascii="Times New Roman" w:hAnsi="Times New Roman"/>
          <w:i/>
          <w:iCs/>
        </w:rPr>
        <w:t>financingnya</w:t>
      </w:r>
      <w:r w:rsidR="00852B0C">
        <w:rPr>
          <w:rFonts w:ascii="Times New Roman" w:hAnsi="Times New Roman"/>
        </w:rPr>
        <w:t>. Hal ini menunjukkan produk</w:t>
      </w:r>
      <w:r w:rsidR="0052673E">
        <w:rPr>
          <w:rFonts w:ascii="Times New Roman" w:hAnsi="Times New Roman"/>
        </w:rPr>
        <w:t xml:space="preserve"> bank syariah yang berbasis bagi hasil bermasalah jika dilihat dari kesyariahannya.</w:t>
      </w:r>
    </w:p>
    <w:p w:rsidR="00840717" w:rsidRDefault="00840717" w:rsidP="00FD1B58">
      <w:pPr>
        <w:pStyle w:val="ListParagraph"/>
        <w:spacing w:line="360" w:lineRule="auto"/>
        <w:ind w:left="0" w:firstLine="709"/>
        <w:contextualSpacing/>
        <w:jc w:val="both"/>
        <w:rPr>
          <w:rFonts w:ascii="Times New Roman" w:hAnsi="Times New Roman"/>
        </w:rPr>
      </w:pPr>
      <w:r>
        <w:rPr>
          <w:rFonts w:ascii="Times New Roman" w:hAnsi="Times New Roman"/>
        </w:rPr>
        <w:t xml:space="preserve">Di samping itu </w:t>
      </w:r>
      <w:r w:rsidR="007245A7">
        <w:rPr>
          <w:rFonts w:ascii="Times New Roman" w:hAnsi="Times New Roman"/>
        </w:rPr>
        <w:t xml:space="preserve">pada dasarnya </w:t>
      </w:r>
      <w:r>
        <w:rPr>
          <w:rFonts w:ascii="Times New Roman" w:hAnsi="Times New Roman"/>
        </w:rPr>
        <w:t xml:space="preserve">akad </w:t>
      </w:r>
      <w:r w:rsidRPr="00D66523">
        <w:rPr>
          <w:rFonts w:ascii="Times New Roman" w:hAnsi="Times New Roman"/>
          <w:i/>
          <w:iCs/>
        </w:rPr>
        <w:t>mudarabah</w:t>
      </w:r>
      <w:r w:rsidR="007245A7">
        <w:rPr>
          <w:rFonts w:ascii="Times New Roman" w:hAnsi="Times New Roman"/>
        </w:rPr>
        <w:t xml:space="preserve">, yang merupakan konsep akad yang diidealkan </w:t>
      </w:r>
      <w:r>
        <w:rPr>
          <w:rFonts w:ascii="Times New Roman" w:hAnsi="Times New Roman"/>
        </w:rPr>
        <w:t xml:space="preserve"> </w:t>
      </w:r>
      <w:r w:rsidR="007245A7">
        <w:rPr>
          <w:rFonts w:ascii="Times New Roman" w:hAnsi="Times New Roman"/>
        </w:rPr>
        <w:t>sebagai pengganti bunga, justru sulit diterapkan dalam konteks perbankan. Konsep akad yang meng</w:t>
      </w:r>
      <w:r w:rsidR="00E05E81">
        <w:rPr>
          <w:rFonts w:ascii="Times New Roman" w:hAnsi="Times New Roman"/>
        </w:rPr>
        <w:t xml:space="preserve">haruskan seratus persen dana dari </w:t>
      </w:r>
      <w:r w:rsidR="00E05E81">
        <w:rPr>
          <w:rFonts w:ascii="Times New Roman" w:hAnsi="Times New Roman"/>
        </w:rPr>
        <w:lastRenderedPageBreak/>
        <w:t xml:space="preserve">salah satu pihak, </w:t>
      </w:r>
      <w:r w:rsidR="00FD1B58">
        <w:rPr>
          <w:rFonts w:ascii="Times New Roman" w:hAnsi="Times New Roman"/>
        </w:rPr>
        <w:t xml:space="preserve">dalam hal ini bank sebagai </w:t>
      </w:r>
      <w:r w:rsidR="00FD1B58" w:rsidRPr="00D66523">
        <w:rPr>
          <w:rFonts w:ascii="Times New Roman" w:hAnsi="Times New Roman"/>
          <w:i/>
          <w:iCs/>
        </w:rPr>
        <w:t>sahib al-mal</w:t>
      </w:r>
      <w:r w:rsidR="00FD1B58">
        <w:rPr>
          <w:rFonts w:ascii="Times New Roman" w:hAnsi="Times New Roman"/>
        </w:rPr>
        <w:t xml:space="preserve"> (dalam konteks produk </w:t>
      </w:r>
      <w:r w:rsidR="00FD1B58" w:rsidRPr="00D66523">
        <w:rPr>
          <w:rFonts w:ascii="Times New Roman" w:hAnsi="Times New Roman"/>
          <w:i/>
          <w:iCs/>
        </w:rPr>
        <w:t>financing</w:t>
      </w:r>
      <w:r w:rsidR="00FD1B58">
        <w:rPr>
          <w:rFonts w:ascii="Times New Roman" w:hAnsi="Times New Roman"/>
        </w:rPr>
        <w:t xml:space="preserve">), sementara pihak lain (nasabah) tidak berkontribusi dana sama sekali, sulit dipraktikkan di dunia perbankan. Tampaknya hampir tidak mungkin bank bersedia membiayai nasabah yang </w:t>
      </w:r>
      <w:r w:rsidR="00F16604">
        <w:rPr>
          <w:rFonts w:ascii="Times New Roman" w:hAnsi="Times New Roman"/>
        </w:rPr>
        <w:t xml:space="preserve">tidak memiliki modal sama sekali dan bahkan tidak punya usaha sama sekali. Oleh karena sulitnya penerapan </w:t>
      </w:r>
      <w:r w:rsidR="00F16604" w:rsidRPr="00D66523">
        <w:rPr>
          <w:rFonts w:ascii="Times New Roman" w:hAnsi="Times New Roman"/>
          <w:i/>
          <w:iCs/>
        </w:rPr>
        <w:t>mudarabah</w:t>
      </w:r>
      <w:r w:rsidR="00F16604">
        <w:rPr>
          <w:rFonts w:ascii="Times New Roman" w:hAnsi="Times New Roman"/>
        </w:rPr>
        <w:t xml:space="preserve"> tersebut </w:t>
      </w:r>
      <w:r w:rsidR="003850D1">
        <w:rPr>
          <w:rFonts w:ascii="Times New Roman" w:hAnsi="Times New Roman"/>
        </w:rPr>
        <w:t>maka jarang sekali bank syariah yang mempraktikkannya.</w:t>
      </w:r>
      <w:r w:rsidR="00D66523">
        <w:rPr>
          <w:rStyle w:val="FootnoteReference"/>
          <w:rFonts w:ascii="Times New Roman" w:hAnsi="Times New Roman"/>
        </w:rPr>
        <w:footnoteReference w:id="6"/>
      </w:r>
    </w:p>
    <w:p w:rsidR="00DC6581" w:rsidRDefault="001105AD" w:rsidP="00004F81">
      <w:pPr>
        <w:pStyle w:val="ListParagraph"/>
        <w:spacing w:line="360" w:lineRule="auto"/>
        <w:ind w:left="0" w:firstLine="709"/>
        <w:contextualSpacing/>
        <w:jc w:val="both"/>
        <w:rPr>
          <w:rFonts w:ascii="Times New Roman" w:hAnsi="Times New Roman"/>
        </w:rPr>
      </w:pPr>
      <w:r>
        <w:rPr>
          <w:rFonts w:ascii="Times New Roman" w:hAnsi="Times New Roman"/>
        </w:rPr>
        <w:t>P</w:t>
      </w:r>
      <w:r w:rsidR="00125E1A">
        <w:rPr>
          <w:rFonts w:ascii="Times New Roman" w:hAnsi="Times New Roman"/>
        </w:rPr>
        <w:t>roblem kesyariahan tersebut akan terus terjadi manakala tidak ada perubahan paradigmatik terhadap pengembangan produk perbankan syariah ke depan.</w:t>
      </w:r>
      <w:r>
        <w:rPr>
          <w:rFonts w:ascii="Times New Roman" w:hAnsi="Times New Roman"/>
        </w:rPr>
        <w:t xml:space="preserve"> </w:t>
      </w:r>
      <w:r w:rsidR="00B72C4E">
        <w:rPr>
          <w:rFonts w:ascii="Times New Roman" w:hAnsi="Times New Roman"/>
        </w:rPr>
        <w:t xml:space="preserve">Paradigma pengembangan produk bank syariah selama ini </w:t>
      </w:r>
      <w:r w:rsidR="00004F81">
        <w:rPr>
          <w:rFonts w:ascii="Times New Roman" w:hAnsi="Times New Roman"/>
        </w:rPr>
        <w:t xml:space="preserve">antara lain </w:t>
      </w:r>
      <w:r w:rsidR="00B72C4E">
        <w:rPr>
          <w:rFonts w:ascii="Times New Roman" w:hAnsi="Times New Roman"/>
        </w:rPr>
        <w:t xml:space="preserve">adalah </w:t>
      </w:r>
      <w:r w:rsidR="002F517E">
        <w:rPr>
          <w:rFonts w:ascii="Times New Roman" w:hAnsi="Times New Roman"/>
        </w:rPr>
        <w:t>bebas bunga, berbasis akad muamalah fiqhiyyah, dan kompetitif terhadap produk bank konvensional.</w:t>
      </w:r>
      <w:r w:rsidR="00D66523">
        <w:rPr>
          <w:rStyle w:val="FootnoteReference"/>
          <w:rFonts w:ascii="Times New Roman" w:hAnsi="Times New Roman"/>
        </w:rPr>
        <w:footnoteReference w:id="7"/>
      </w:r>
      <w:r w:rsidR="002F517E">
        <w:rPr>
          <w:rFonts w:ascii="Times New Roman" w:hAnsi="Times New Roman"/>
        </w:rPr>
        <w:t xml:space="preserve"> Dua paradigma pertama sesungguhnya justru menjadi batu sandungan bagi perbankan syariah untuk </w:t>
      </w:r>
      <w:r w:rsidR="00FF2C39">
        <w:rPr>
          <w:rFonts w:ascii="Times New Roman" w:hAnsi="Times New Roman"/>
        </w:rPr>
        <w:t xml:space="preserve">dapat </w:t>
      </w:r>
      <w:r w:rsidR="002F517E">
        <w:rPr>
          <w:rFonts w:ascii="Times New Roman" w:hAnsi="Times New Roman"/>
        </w:rPr>
        <w:t>berkompetisi dengan perbankan konve</w:t>
      </w:r>
      <w:r w:rsidR="00FF2C39">
        <w:rPr>
          <w:rFonts w:ascii="Times New Roman" w:hAnsi="Times New Roman"/>
        </w:rPr>
        <w:t>n</w:t>
      </w:r>
      <w:r w:rsidR="002F517E">
        <w:rPr>
          <w:rFonts w:ascii="Times New Roman" w:hAnsi="Times New Roman"/>
        </w:rPr>
        <w:t>sional.</w:t>
      </w:r>
      <w:r w:rsidR="00FF2C39">
        <w:rPr>
          <w:rFonts w:ascii="Times New Roman" w:hAnsi="Times New Roman"/>
        </w:rPr>
        <w:t xml:space="preserve"> </w:t>
      </w:r>
      <w:r w:rsidR="00E60D17">
        <w:rPr>
          <w:rFonts w:ascii="Times New Roman" w:hAnsi="Times New Roman"/>
        </w:rPr>
        <w:t xml:space="preserve">Gambaran masalah kesyariahan yang dihadapi oleh produk bank syariah yang berbasis </w:t>
      </w:r>
      <w:r w:rsidR="00E60D17" w:rsidRPr="00D66523">
        <w:rPr>
          <w:rFonts w:ascii="Times New Roman" w:hAnsi="Times New Roman"/>
          <w:i/>
          <w:iCs/>
        </w:rPr>
        <w:t>bay’ al-murabahah</w:t>
      </w:r>
      <w:r w:rsidR="00E60D17">
        <w:rPr>
          <w:rFonts w:ascii="Times New Roman" w:hAnsi="Times New Roman"/>
        </w:rPr>
        <w:t xml:space="preserve"> dan bagi hasil di atas menunjukkan akan hal itu. </w:t>
      </w:r>
      <w:r w:rsidR="00DC6581">
        <w:rPr>
          <w:rFonts w:ascii="Times New Roman" w:hAnsi="Times New Roman"/>
        </w:rPr>
        <w:t>Di satu sisi bank syariah di</w:t>
      </w:r>
      <w:r w:rsidR="00F973AF">
        <w:rPr>
          <w:rFonts w:ascii="Times New Roman" w:hAnsi="Times New Roman"/>
        </w:rPr>
        <w:t xml:space="preserve">tuntut </w:t>
      </w:r>
      <w:r w:rsidR="00DC6581">
        <w:rPr>
          <w:rFonts w:ascii="Times New Roman" w:hAnsi="Times New Roman"/>
        </w:rPr>
        <w:t xml:space="preserve">untuk dapat berkompetisi dengan bank konvensional, tetapi di sisi lain mereka dibebani dengan nilai-nilai dan paradigma yang tidak lazim pada dunia perbankan dan bahkan selalu menjadi batu sandungan bagi mereka untuk dapat berlari cepat mengejar ketertinggalannya dengan bank konvensional. </w:t>
      </w:r>
    </w:p>
    <w:p w:rsidR="00835FD4" w:rsidRDefault="00835FD4" w:rsidP="00F973AF">
      <w:pPr>
        <w:pStyle w:val="ListParagraph"/>
        <w:spacing w:line="360" w:lineRule="auto"/>
        <w:ind w:left="0" w:firstLine="709"/>
        <w:contextualSpacing/>
        <w:jc w:val="both"/>
        <w:rPr>
          <w:rFonts w:ascii="Times New Roman" w:hAnsi="Times New Roman"/>
        </w:rPr>
      </w:pPr>
      <w:r>
        <w:rPr>
          <w:rFonts w:ascii="Times New Roman" w:hAnsi="Times New Roman"/>
        </w:rPr>
        <w:t>Dari gambaran di atas tampak bahwa keharusan</w:t>
      </w:r>
      <w:r w:rsidR="004B125E">
        <w:rPr>
          <w:rFonts w:ascii="Times New Roman" w:hAnsi="Times New Roman"/>
        </w:rPr>
        <w:t xml:space="preserve"> </w:t>
      </w:r>
      <w:r w:rsidR="00315567">
        <w:rPr>
          <w:rFonts w:ascii="Times New Roman" w:hAnsi="Times New Roman"/>
        </w:rPr>
        <w:t xml:space="preserve">bank syariah untuk menghindari bunga memaksanya untuk tidak menggunakan model pinjam (kredit) dalam keseluruhan produk pembiayaan karena dalam konteks syariah akad pinjam hanya dikenal dalam bentuk </w:t>
      </w:r>
      <w:r w:rsidR="00315567" w:rsidRPr="006F4BD9">
        <w:rPr>
          <w:rFonts w:ascii="Times New Roman" w:hAnsi="Times New Roman"/>
          <w:i/>
          <w:iCs/>
        </w:rPr>
        <w:t>qard</w:t>
      </w:r>
      <w:r w:rsidR="00315567">
        <w:rPr>
          <w:rFonts w:ascii="Times New Roman" w:hAnsi="Times New Roman"/>
        </w:rPr>
        <w:t xml:space="preserve"> atau </w:t>
      </w:r>
      <w:r w:rsidR="00315567" w:rsidRPr="006F4BD9">
        <w:rPr>
          <w:rFonts w:ascii="Times New Roman" w:hAnsi="Times New Roman"/>
          <w:i/>
          <w:iCs/>
        </w:rPr>
        <w:t>mudayanah</w:t>
      </w:r>
      <w:r w:rsidR="00315567">
        <w:rPr>
          <w:rFonts w:ascii="Times New Roman" w:hAnsi="Times New Roman"/>
        </w:rPr>
        <w:t xml:space="preserve"> (hutang piutang) dan ia tidak bisa dibawa ke dalam konteks bisnis </w:t>
      </w:r>
      <w:r w:rsidR="00315567" w:rsidRPr="006F4BD9">
        <w:rPr>
          <w:rFonts w:ascii="Times New Roman" w:hAnsi="Times New Roman"/>
          <w:i/>
          <w:iCs/>
        </w:rPr>
        <w:t>(mu’awadah)</w:t>
      </w:r>
      <w:r w:rsidR="00315567">
        <w:rPr>
          <w:rFonts w:ascii="Times New Roman" w:hAnsi="Times New Roman"/>
        </w:rPr>
        <w:t>. Oleh karena itu tidak mungkin digunakan oleh ba</w:t>
      </w:r>
      <w:r w:rsidR="00504758">
        <w:rPr>
          <w:rFonts w:ascii="Times New Roman" w:hAnsi="Times New Roman"/>
        </w:rPr>
        <w:t xml:space="preserve">nk syariah dalam peyaluran dananya, karena tidak mungkin bagi bank komersial untuk menyalurkan dananya tanpa ada keuntungan yang diperoleh, sebab keuntungan yang diperoleh dalam akad </w:t>
      </w:r>
      <w:r w:rsidR="00504758" w:rsidRPr="006F4BD9">
        <w:rPr>
          <w:rFonts w:ascii="Times New Roman" w:hAnsi="Times New Roman"/>
          <w:i/>
          <w:iCs/>
        </w:rPr>
        <w:t>qard</w:t>
      </w:r>
      <w:r w:rsidR="00504758">
        <w:rPr>
          <w:rFonts w:ascii="Times New Roman" w:hAnsi="Times New Roman"/>
        </w:rPr>
        <w:t xml:space="preserve"> (dan akad-akad </w:t>
      </w:r>
      <w:r w:rsidR="00504758" w:rsidRPr="006F4BD9">
        <w:rPr>
          <w:rFonts w:ascii="Times New Roman" w:hAnsi="Times New Roman"/>
          <w:i/>
          <w:iCs/>
        </w:rPr>
        <w:t>tabarru’</w:t>
      </w:r>
      <w:r w:rsidR="00504758">
        <w:rPr>
          <w:rFonts w:ascii="Times New Roman" w:hAnsi="Times New Roman"/>
        </w:rPr>
        <w:t xml:space="preserve"> pada umumnya) akan dianggap sebagai riba. </w:t>
      </w:r>
      <w:r w:rsidR="004C1024">
        <w:rPr>
          <w:rFonts w:ascii="Times New Roman" w:hAnsi="Times New Roman"/>
        </w:rPr>
        <w:t xml:space="preserve">Oleh karena tidak mungkin </w:t>
      </w:r>
      <w:r w:rsidR="004C1024">
        <w:rPr>
          <w:rFonts w:ascii="Times New Roman" w:hAnsi="Times New Roman"/>
        </w:rPr>
        <w:lastRenderedPageBreak/>
        <w:t xml:space="preserve">menggunakan akad pinjam/kredit </w:t>
      </w:r>
      <w:r w:rsidR="004C1024" w:rsidRPr="006F4BD9">
        <w:rPr>
          <w:rFonts w:ascii="Times New Roman" w:hAnsi="Times New Roman"/>
          <w:i/>
          <w:iCs/>
        </w:rPr>
        <w:t>(qard)</w:t>
      </w:r>
      <w:r w:rsidR="004C1024">
        <w:rPr>
          <w:rFonts w:ascii="Times New Roman" w:hAnsi="Times New Roman"/>
        </w:rPr>
        <w:t xml:space="preserve"> maka bank syariah kemudian </w:t>
      </w:r>
      <w:r w:rsidR="00E56774">
        <w:rPr>
          <w:rFonts w:ascii="Times New Roman" w:hAnsi="Times New Roman"/>
        </w:rPr>
        <w:t xml:space="preserve">lari ke </w:t>
      </w:r>
      <w:r w:rsidR="004C1024">
        <w:rPr>
          <w:rFonts w:ascii="Times New Roman" w:hAnsi="Times New Roman"/>
        </w:rPr>
        <w:t xml:space="preserve">akad </w:t>
      </w:r>
      <w:r w:rsidR="004C1024" w:rsidRPr="006F4BD9">
        <w:rPr>
          <w:rFonts w:ascii="Times New Roman" w:hAnsi="Times New Roman"/>
          <w:i/>
          <w:iCs/>
        </w:rPr>
        <w:t>bay’ al-murabahah</w:t>
      </w:r>
      <w:r w:rsidR="004C1024">
        <w:rPr>
          <w:rFonts w:ascii="Times New Roman" w:hAnsi="Times New Roman"/>
        </w:rPr>
        <w:t xml:space="preserve"> </w:t>
      </w:r>
      <w:r w:rsidR="000B0340">
        <w:rPr>
          <w:rFonts w:ascii="Times New Roman" w:hAnsi="Times New Roman"/>
        </w:rPr>
        <w:t xml:space="preserve">(jual beli) </w:t>
      </w:r>
      <w:r w:rsidR="004C1024">
        <w:rPr>
          <w:rFonts w:ascii="Times New Roman" w:hAnsi="Times New Roman"/>
        </w:rPr>
        <w:t>dan akad bagi hasil (</w:t>
      </w:r>
      <w:r w:rsidR="004C1024" w:rsidRPr="006F4BD9">
        <w:rPr>
          <w:rFonts w:ascii="Times New Roman" w:hAnsi="Times New Roman"/>
          <w:i/>
          <w:iCs/>
        </w:rPr>
        <w:t>musyarakah</w:t>
      </w:r>
      <w:r w:rsidR="004C1024">
        <w:rPr>
          <w:rFonts w:ascii="Times New Roman" w:hAnsi="Times New Roman"/>
        </w:rPr>
        <w:t xml:space="preserve"> dan </w:t>
      </w:r>
      <w:r w:rsidR="004C1024" w:rsidRPr="006F4BD9">
        <w:rPr>
          <w:rFonts w:ascii="Times New Roman" w:hAnsi="Times New Roman"/>
          <w:i/>
          <w:iCs/>
        </w:rPr>
        <w:t>mudarabah</w:t>
      </w:r>
      <w:r w:rsidR="004C1024">
        <w:rPr>
          <w:rFonts w:ascii="Times New Roman" w:hAnsi="Times New Roman"/>
        </w:rPr>
        <w:t xml:space="preserve">), karena </w:t>
      </w:r>
      <w:r w:rsidR="000B0340">
        <w:rPr>
          <w:rFonts w:ascii="Times New Roman" w:hAnsi="Times New Roman"/>
        </w:rPr>
        <w:t>hanya akad-akad itulah yang bisa dijadikan sandaran produk.</w:t>
      </w:r>
      <w:r w:rsidR="004C3608">
        <w:rPr>
          <w:rFonts w:ascii="Times New Roman" w:hAnsi="Times New Roman"/>
        </w:rPr>
        <w:t xml:space="preserve"> Dengan ungkapan lain, jika tidak mungkin menggunakan akad pinjam/kredit, maka bank syariah menggunakan akad</w:t>
      </w:r>
      <w:r w:rsidR="00F973AF">
        <w:rPr>
          <w:rFonts w:ascii="Times New Roman" w:hAnsi="Times New Roman"/>
        </w:rPr>
        <w:t xml:space="preserve"> jual beli atau akad bagi hasil.</w:t>
      </w:r>
      <w:r w:rsidR="009C01AD">
        <w:rPr>
          <w:rFonts w:ascii="Times New Roman" w:hAnsi="Times New Roman"/>
        </w:rPr>
        <w:t xml:space="preserve"> </w:t>
      </w:r>
      <w:r w:rsidR="00F973AF">
        <w:rPr>
          <w:rFonts w:ascii="Times New Roman" w:hAnsi="Times New Roman"/>
        </w:rPr>
        <w:t>S</w:t>
      </w:r>
      <w:r w:rsidR="009C01AD">
        <w:rPr>
          <w:rFonts w:ascii="Times New Roman" w:hAnsi="Times New Roman"/>
        </w:rPr>
        <w:t>eolah-olah jika tidak bisa masuk melalui pintu depan maka bisa masuk lewat pintu samping, jika tidak bisa juga lewat pintu samping, maka bisa masuk melalui pintu belakang.</w:t>
      </w:r>
      <w:r w:rsidR="00B7437F">
        <w:rPr>
          <w:rFonts w:ascii="Times New Roman" w:hAnsi="Times New Roman"/>
        </w:rPr>
        <w:t xml:space="preserve"> Jadi paradigma bebas bunga dan berbasis akad muamalah fiqhiyyah justru menjadikan bank syariah menerapkan produk-produknya dengan jalan ‘memutar’ dan hal ini mengarah kepada helah hukum (fiksi hukum) yang tidak dibenarkan secara syariah.</w:t>
      </w:r>
      <w:r w:rsidR="006F4BD9">
        <w:rPr>
          <w:rStyle w:val="FootnoteReference"/>
          <w:rFonts w:ascii="Times New Roman" w:hAnsi="Times New Roman"/>
        </w:rPr>
        <w:footnoteReference w:id="8"/>
      </w:r>
    </w:p>
    <w:p w:rsidR="00125E1A" w:rsidRDefault="00CB0A96" w:rsidP="00435F79">
      <w:pPr>
        <w:pStyle w:val="ListParagraph"/>
        <w:spacing w:line="360" w:lineRule="auto"/>
        <w:ind w:left="0" w:firstLine="709"/>
        <w:contextualSpacing/>
        <w:jc w:val="both"/>
        <w:rPr>
          <w:rFonts w:ascii="Times New Roman" w:hAnsi="Times New Roman"/>
        </w:rPr>
      </w:pPr>
      <w:r>
        <w:rPr>
          <w:rFonts w:ascii="Times New Roman" w:hAnsi="Times New Roman"/>
        </w:rPr>
        <w:t xml:space="preserve">Dengan adanya </w:t>
      </w:r>
      <w:r w:rsidR="00AF5029">
        <w:rPr>
          <w:rFonts w:ascii="Times New Roman" w:hAnsi="Times New Roman"/>
        </w:rPr>
        <w:t xml:space="preserve">persoalan </w:t>
      </w:r>
      <w:r w:rsidR="00435F79">
        <w:rPr>
          <w:rFonts w:ascii="Times New Roman" w:hAnsi="Times New Roman"/>
        </w:rPr>
        <w:t>di atas</w:t>
      </w:r>
      <w:r>
        <w:rPr>
          <w:rFonts w:ascii="Times New Roman" w:hAnsi="Times New Roman"/>
        </w:rPr>
        <w:t>, p</w:t>
      </w:r>
      <w:r w:rsidR="00125E1A">
        <w:rPr>
          <w:rFonts w:ascii="Times New Roman" w:hAnsi="Times New Roman"/>
        </w:rPr>
        <w:t xml:space="preserve">enulis tertarik untuk meneliti legitimasi paradigma </w:t>
      </w:r>
      <w:r w:rsidR="00435F79">
        <w:rPr>
          <w:rFonts w:ascii="Times New Roman" w:hAnsi="Times New Roman"/>
        </w:rPr>
        <w:t xml:space="preserve">pengembangan produk </w:t>
      </w:r>
      <w:r w:rsidR="00125E1A">
        <w:rPr>
          <w:rFonts w:ascii="Times New Roman" w:hAnsi="Times New Roman"/>
        </w:rPr>
        <w:t>tersebut beserta kemungkinan untuk mendekonstruksinya</w:t>
      </w:r>
      <w:r w:rsidR="000A74D7">
        <w:rPr>
          <w:rFonts w:ascii="Times New Roman" w:hAnsi="Times New Roman"/>
        </w:rPr>
        <w:t xml:space="preserve"> </w:t>
      </w:r>
      <w:r w:rsidR="00435F79">
        <w:rPr>
          <w:rFonts w:ascii="Times New Roman" w:hAnsi="Times New Roman"/>
        </w:rPr>
        <w:t xml:space="preserve">dan </w:t>
      </w:r>
      <w:r w:rsidR="00AF5029">
        <w:rPr>
          <w:rFonts w:ascii="Times New Roman" w:hAnsi="Times New Roman"/>
        </w:rPr>
        <w:t xml:space="preserve">kemudian mencoba menawarkan </w:t>
      </w:r>
      <w:r w:rsidR="000A74D7">
        <w:rPr>
          <w:rFonts w:ascii="Times New Roman" w:hAnsi="Times New Roman"/>
        </w:rPr>
        <w:t>paradigma baru yang lebih rasional, realistis, tetapi tetap sesuai syariah.</w:t>
      </w:r>
      <w:r w:rsidR="00701397">
        <w:rPr>
          <w:rFonts w:ascii="Times New Roman" w:hAnsi="Times New Roman"/>
        </w:rPr>
        <w:t xml:space="preserve"> </w:t>
      </w:r>
    </w:p>
    <w:p w:rsidR="00CB0A96" w:rsidRPr="00125E1A" w:rsidRDefault="00CB0A96" w:rsidP="00CB0A96">
      <w:pPr>
        <w:pStyle w:val="ListParagraph"/>
        <w:spacing w:line="360" w:lineRule="auto"/>
        <w:ind w:left="0" w:firstLine="709"/>
        <w:contextualSpacing/>
        <w:jc w:val="both"/>
        <w:rPr>
          <w:rFonts w:ascii="Times New Roman" w:hAnsi="Times New Roman"/>
        </w:rPr>
      </w:pPr>
    </w:p>
    <w:p w:rsidR="00125E1A" w:rsidRDefault="00125E1A" w:rsidP="00AF5029">
      <w:pPr>
        <w:pStyle w:val="ListParagraph"/>
        <w:numPr>
          <w:ilvl w:val="0"/>
          <w:numId w:val="1"/>
        </w:numPr>
        <w:spacing w:line="360" w:lineRule="auto"/>
        <w:ind w:left="426" w:hanging="426"/>
        <w:contextualSpacing/>
        <w:rPr>
          <w:rFonts w:ascii="Times New Roman" w:hAnsi="Times New Roman"/>
          <w:b/>
          <w:bCs/>
        </w:rPr>
      </w:pPr>
      <w:r w:rsidRPr="00125E1A">
        <w:rPr>
          <w:rFonts w:ascii="Times New Roman" w:hAnsi="Times New Roman"/>
          <w:b/>
          <w:bCs/>
        </w:rPr>
        <w:t>Rumusan Masalah</w:t>
      </w:r>
    </w:p>
    <w:p w:rsidR="00AF5029" w:rsidRDefault="00AF5029" w:rsidP="00085AC0">
      <w:pPr>
        <w:pStyle w:val="ListParagraph"/>
        <w:numPr>
          <w:ilvl w:val="1"/>
          <w:numId w:val="3"/>
        </w:numPr>
        <w:spacing w:line="360" w:lineRule="auto"/>
        <w:ind w:left="709" w:hanging="283"/>
        <w:contextualSpacing/>
        <w:jc w:val="both"/>
        <w:rPr>
          <w:rFonts w:ascii="Times New Roman" w:hAnsi="Times New Roman"/>
        </w:rPr>
      </w:pPr>
      <w:r>
        <w:rPr>
          <w:rFonts w:ascii="Times New Roman" w:hAnsi="Times New Roman"/>
        </w:rPr>
        <w:t xml:space="preserve">Bagaimana </w:t>
      </w:r>
      <w:r w:rsidR="00085AC0">
        <w:rPr>
          <w:rFonts w:ascii="Times New Roman" w:hAnsi="Times New Roman"/>
        </w:rPr>
        <w:t xml:space="preserve">legitimasi </w:t>
      </w:r>
      <w:r>
        <w:rPr>
          <w:rFonts w:ascii="Times New Roman" w:hAnsi="Times New Roman"/>
        </w:rPr>
        <w:t>paradigma pengembangan produk bank syariah dalam perspektif hukum ekonomi syariah?</w:t>
      </w:r>
    </w:p>
    <w:p w:rsidR="00AF5029" w:rsidRDefault="00AF5029" w:rsidP="00CE7D7D">
      <w:pPr>
        <w:pStyle w:val="ListParagraph"/>
        <w:numPr>
          <w:ilvl w:val="1"/>
          <w:numId w:val="3"/>
        </w:numPr>
        <w:spacing w:line="360" w:lineRule="auto"/>
        <w:ind w:left="709" w:hanging="283"/>
        <w:contextualSpacing/>
        <w:jc w:val="both"/>
        <w:rPr>
          <w:rFonts w:ascii="Times New Roman" w:hAnsi="Times New Roman"/>
        </w:rPr>
      </w:pPr>
      <w:r>
        <w:rPr>
          <w:rFonts w:ascii="Times New Roman" w:hAnsi="Times New Roman"/>
        </w:rPr>
        <w:t>Bagaimana paradigma baru pengembangan produk bank syariah yang bisa ditawarkan</w:t>
      </w:r>
      <w:r w:rsidR="00CE7D7D">
        <w:rPr>
          <w:rFonts w:ascii="Times New Roman" w:hAnsi="Times New Roman"/>
        </w:rPr>
        <w:t xml:space="preserve"> sebagai pengganti paradigma yang </w:t>
      </w:r>
      <w:r w:rsidR="00F973AF">
        <w:rPr>
          <w:rFonts w:ascii="Times New Roman" w:hAnsi="Times New Roman"/>
        </w:rPr>
        <w:t>‘</w:t>
      </w:r>
      <w:r w:rsidR="00CE7D7D">
        <w:rPr>
          <w:rFonts w:ascii="Times New Roman" w:hAnsi="Times New Roman"/>
        </w:rPr>
        <w:t>bermasalah</w:t>
      </w:r>
      <w:r w:rsidR="00F973AF">
        <w:rPr>
          <w:rFonts w:ascii="Times New Roman" w:hAnsi="Times New Roman"/>
        </w:rPr>
        <w:t>’</w:t>
      </w:r>
      <w:r w:rsidR="00CE7D7D">
        <w:rPr>
          <w:rFonts w:ascii="Times New Roman" w:hAnsi="Times New Roman"/>
        </w:rPr>
        <w:t xml:space="preserve"> tersebut?</w:t>
      </w:r>
    </w:p>
    <w:p w:rsidR="00CE7D7D" w:rsidRPr="00AF5029" w:rsidRDefault="00CE7D7D" w:rsidP="00CE7D7D">
      <w:pPr>
        <w:pStyle w:val="ListParagraph"/>
        <w:spacing w:line="360" w:lineRule="auto"/>
        <w:ind w:left="709"/>
        <w:contextualSpacing/>
        <w:jc w:val="both"/>
        <w:rPr>
          <w:rFonts w:ascii="Times New Roman" w:hAnsi="Times New Roman"/>
        </w:rPr>
      </w:pPr>
    </w:p>
    <w:p w:rsidR="00125E1A" w:rsidRDefault="00125E1A" w:rsidP="009E6FB4">
      <w:pPr>
        <w:pStyle w:val="ListParagraph"/>
        <w:numPr>
          <w:ilvl w:val="0"/>
          <w:numId w:val="1"/>
        </w:numPr>
        <w:spacing w:line="360" w:lineRule="auto"/>
        <w:ind w:left="426" w:hanging="426"/>
        <w:contextualSpacing/>
        <w:rPr>
          <w:rFonts w:ascii="Times New Roman" w:hAnsi="Times New Roman"/>
          <w:b/>
          <w:bCs/>
        </w:rPr>
      </w:pPr>
      <w:r w:rsidRPr="00125E1A">
        <w:rPr>
          <w:rFonts w:ascii="Times New Roman" w:hAnsi="Times New Roman"/>
          <w:b/>
          <w:bCs/>
        </w:rPr>
        <w:t>Tujuan dan Signifikansi</w:t>
      </w:r>
    </w:p>
    <w:p w:rsidR="009E6FB4" w:rsidRDefault="009E6FB4" w:rsidP="009E6FB4">
      <w:pPr>
        <w:pStyle w:val="ListParagraph"/>
        <w:spacing w:line="360" w:lineRule="auto"/>
        <w:ind w:left="0" w:firstLine="709"/>
        <w:contextualSpacing/>
        <w:jc w:val="both"/>
        <w:rPr>
          <w:rFonts w:ascii="Times New Roman" w:hAnsi="Times New Roman"/>
        </w:rPr>
      </w:pPr>
      <w:r>
        <w:rPr>
          <w:rFonts w:ascii="Times New Roman" w:hAnsi="Times New Roman"/>
        </w:rPr>
        <w:t>Tujuan penelitian ini adalah:</w:t>
      </w:r>
    </w:p>
    <w:p w:rsidR="00CE7D7D" w:rsidRDefault="009E6FB4" w:rsidP="009E6FB4">
      <w:pPr>
        <w:pStyle w:val="ListParagraph"/>
        <w:numPr>
          <w:ilvl w:val="1"/>
          <w:numId w:val="1"/>
        </w:numPr>
        <w:spacing w:line="360" w:lineRule="auto"/>
        <w:ind w:left="709" w:hanging="283"/>
        <w:contextualSpacing/>
        <w:jc w:val="both"/>
        <w:rPr>
          <w:rFonts w:ascii="Times New Roman" w:hAnsi="Times New Roman"/>
        </w:rPr>
      </w:pPr>
      <w:r>
        <w:rPr>
          <w:rFonts w:ascii="Times New Roman" w:hAnsi="Times New Roman"/>
        </w:rPr>
        <w:t xml:space="preserve">Untuk mendokunstruksi </w:t>
      </w:r>
      <w:r w:rsidR="00CE7D7D">
        <w:rPr>
          <w:rFonts w:ascii="Times New Roman" w:hAnsi="Times New Roman"/>
        </w:rPr>
        <w:t>paradigma pengembangan produk bank syariah dalam perspektif hukum ekonomi syariah</w:t>
      </w:r>
      <w:r>
        <w:rPr>
          <w:rFonts w:ascii="Times New Roman" w:hAnsi="Times New Roman"/>
        </w:rPr>
        <w:t>.</w:t>
      </w:r>
    </w:p>
    <w:p w:rsidR="00CE7D7D" w:rsidRDefault="009E6FB4" w:rsidP="009E6FB4">
      <w:pPr>
        <w:pStyle w:val="ListParagraph"/>
        <w:numPr>
          <w:ilvl w:val="1"/>
          <w:numId w:val="1"/>
        </w:numPr>
        <w:spacing w:line="360" w:lineRule="auto"/>
        <w:ind w:left="709" w:hanging="283"/>
        <w:contextualSpacing/>
        <w:jc w:val="both"/>
        <w:rPr>
          <w:rFonts w:ascii="Times New Roman" w:hAnsi="Times New Roman"/>
        </w:rPr>
      </w:pPr>
      <w:r>
        <w:rPr>
          <w:rFonts w:ascii="Times New Roman" w:hAnsi="Times New Roman"/>
        </w:rPr>
        <w:lastRenderedPageBreak/>
        <w:t xml:space="preserve">Untuk merekonstruksi </w:t>
      </w:r>
      <w:r w:rsidR="00CE7D7D">
        <w:rPr>
          <w:rFonts w:ascii="Times New Roman" w:hAnsi="Times New Roman"/>
        </w:rPr>
        <w:t>paradigma baru pengembangan produk bank syariah yang bisa ditawarkan sebagai pengganti paradigma yang bermasalah tersebut</w:t>
      </w:r>
      <w:r>
        <w:rPr>
          <w:rFonts w:ascii="Times New Roman" w:hAnsi="Times New Roman"/>
        </w:rPr>
        <w:t>.</w:t>
      </w:r>
    </w:p>
    <w:p w:rsidR="009E6FB4" w:rsidRDefault="009E6FB4" w:rsidP="009E6FB4">
      <w:pPr>
        <w:pStyle w:val="ListParagraph"/>
        <w:spacing w:line="360" w:lineRule="auto"/>
        <w:ind w:left="0" w:firstLine="709"/>
        <w:contextualSpacing/>
        <w:jc w:val="both"/>
        <w:rPr>
          <w:rFonts w:ascii="Times New Roman" w:hAnsi="Times New Roman"/>
        </w:rPr>
      </w:pPr>
      <w:r>
        <w:rPr>
          <w:rFonts w:ascii="Times New Roman" w:hAnsi="Times New Roman"/>
        </w:rPr>
        <w:t>Adapun signifikansi</w:t>
      </w:r>
      <w:r w:rsidR="00FC238F">
        <w:rPr>
          <w:rFonts w:ascii="Times New Roman" w:hAnsi="Times New Roman"/>
        </w:rPr>
        <w:t xml:space="preserve"> penelitian ini adalah untuk memberikan kontribusi pemikiran dalam </w:t>
      </w:r>
      <w:r w:rsidR="00E47C92">
        <w:rPr>
          <w:rFonts w:ascii="Times New Roman" w:hAnsi="Times New Roman"/>
        </w:rPr>
        <w:t>mengurai benang kusut yang membelit bank syariah dengan dimulai dari dekonstruksi paradigmatik dalam pengembangan produk bank syariah.</w:t>
      </w:r>
      <w:r w:rsidR="00D020AA">
        <w:rPr>
          <w:rFonts w:ascii="Times New Roman" w:hAnsi="Times New Roman"/>
        </w:rPr>
        <w:t xml:space="preserve"> </w:t>
      </w:r>
      <w:r w:rsidR="00F973AF">
        <w:rPr>
          <w:rFonts w:ascii="Times New Roman" w:hAnsi="Times New Roman"/>
        </w:rPr>
        <w:t>Kemudian dilnjutkan dengan upaya untuk merekonstruksi paradigma pengembangan produk yang lebih rasional, realistis, fleksibel, tetapi tetap sesuai syariah.</w:t>
      </w:r>
    </w:p>
    <w:p w:rsidR="00CE7D7D" w:rsidRPr="00125E1A" w:rsidRDefault="00CE7D7D" w:rsidP="00CE7D7D">
      <w:pPr>
        <w:pStyle w:val="ListParagraph"/>
        <w:spacing w:line="276" w:lineRule="auto"/>
        <w:ind w:left="426"/>
        <w:contextualSpacing/>
        <w:rPr>
          <w:rFonts w:ascii="Times New Roman" w:hAnsi="Times New Roman"/>
          <w:b/>
          <w:bCs/>
        </w:rPr>
      </w:pPr>
    </w:p>
    <w:p w:rsidR="00125E1A" w:rsidRDefault="00125E1A" w:rsidP="00D020AA">
      <w:pPr>
        <w:pStyle w:val="ListParagraph"/>
        <w:numPr>
          <w:ilvl w:val="0"/>
          <w:numId w:val="1"/>
        </w:numPr>
        <w:spacing w:line="360" w:lineRule="auto"/>
        <w:ind w:left="426" w:hanging="426"/>
        <w:contextualSpacing/>
        <w:rPr>
          <w:rFonts w:ascii="Times New Roman" w:hAnsi="Times New Roman"/>
          <w:b/>
          <w:bCs/>
        </w:rPr>
      </w:pPr>
      <w:r w:rsidRPr="00125E1A">
        <w:rPr>
          <w:rFonts w:ascii="Times New Roman" w:hAnsi="Times New Roman"/>
          <w:b/>
          <w:bCs/>
        </w:rPr>
        <w:t>Telaah Pustaka</w:t>
      </w:r>
    </w:p>
    <w:p w:rsidR="008E3641" w:rsidRDefault="00D30F1D" w:rsidP="0070080F">
      <w:pPr>
        <w:pStyle w:val="ListParagraph"/>
        <w:spacing w:line="360" w:lineRule="auto"/>
        <w:ind w:left="0" w:firstLine="709"/>
        <w:contextualSpacing/>
        <w:jc w:val="both"/>
        <w:rPr>
          <w:rFonts w:ascii="Times New Roman" w:hAnsi="Times New Roman"/>
        </w:rPr>
      </w:pPr>
      <w:r>
        <w:rPr>
          <w:rFonts w:ascii="Times New Roman" w:hAnsi="Times New Roman"/>
        </w:rPr>
        <w:t>Pada umumnya tulisan kritis tentang ekonomi Islam dan perbankan syariah selalu mengarahkan kritikannya pada perbankan syariah atau bank Islam</w:t>
      </w:r>
      <w:r w:rsidR="0003373E">
        <w:rPr>
          <w:rFonts w:ascii="Times New Roman" w:hAnsi="Times New Roman"/>
        </w:rPr>
        <w:t xml:space="preserve">. Volker Nienhaus, misalnya, dalam tulisannya, “The Performance of Islamic Banks: Trends and Cases,” menyatakan </w:t>
      </w:r>
      <w:r w:rsidR="00E02C06">
        <w:rPr>
          <w:rFonts w:ascii="Times New Roman" w:hAnsi="Times New Roman"/>
        </w:rPr>
        <w:t xml:space="preserve">titik tolak perbankan syariah </w:t>
      </w:r>
      <w:r w:rsidR="0003373E">
        <w:rPr>
          <w:rFonts w:ascii="Times New Roman" w:hAnsi="Times New Roman"/>
        </w:rPr>
        <w:t>adalah postulat bahwa riba (bunga) dilarang dalam transaksi pembiayaan, sedangkan keuntungan yang diperoleh dari perdagangan diperbolehkan.</w:t>
      </w:r>
      <w:r w:rsidR="0003373E">
        <w:rPr>
          <w:rStyle w:val="FootnoteReference"/>
          <w:rFonts w:ascii="Times New Roman" w:hAnsi="Times New Roman"/>
        </w:rPr>
        <w:footnoteReference w:id="9"/>
      </w:r>
      <w:r w:rsidR="00E02C06">
        <w:rPr>
          <w:rFonts w:ascii="Times New Roman" w:hAnsi="Times New Roman"/>
        </w:rPr>
        <w:t xml:space="preserve"> Konsekuensinya, operasional bank syariah melampaui operasional bank pada umumnya dan </w:t>
      </w:r>
      <w:r w:rsidR="00F973AF">
        <w:rPr>
          <w:rFonts w:ascii="Times New Roman" w:hAnsi="Times New Roman"/>
        </w:rPr>
        <w:t xml:space="preserve">ia </w:t>
      </w:r>
      <w:r w:rsidR="00E02C06">
        <w:rPr>
          <w:rFonts w:ascii="Times New Roman" w:hAnsi="Times New Roman"/>
        </w:rPr>
        <w:t>menjadi pedagang itu sendiri. Bukannya menyediakan uang, bank syariah justru menyediakan barang</w:t>
      </w:r>
      <w:r w:rsidR="005646C6">
        <w:rPr>
          <w:rFonts w:ascii="Times New Roman" w:hAnsi="Times New Roman"/>
        </w:rPr>
        <w:t>-</w:t>
      </w:r>
      <w:r w:rsidR="00E02C06">
        <w:rPr>
          <w:rFonts w:ascii="Times New Roman" w:hAnsi="Times New Roman"/>
        </w:rPr>
        <w:t>barag yang dibutuhkan nasabah.</w:t>
      </w:r>
      <w:r w:rsidR="005646C6">
        <w:rPr>
          <w:rStyle w:val="FootnoteReference"/>
          <w:rFonts w:ascii="Times New Roman" w:hAnsi="Times New Roman"/>
        </w:rPr>
        <w:footnoteReference w:id="10"/>
      </w:r>
      <w:r w:rsidR="005646C6">
        <w:rPr>
          <w:rFonts w:ascii="Times New Roman" w:hAnsi="Times New Roman"/>
        </w:rPr>
        <w:t xml:space="preserve"> </w:t>
      </w:r>
    </w:p>
    <w:p w:rsidR="00D30F1D" w:rsidRDefault="005646C6" w:rsidP="00BB6C90">
      <w:pPr>
        <w:pStyle w:val="ListParagraph"/>
        <w:spacing w:line="360" w:lineRule="auto"/>
        <w:ind w:left="0" w:firstLine="709"/>
        <w:contextualSpacing/>
        <w:jc w:val="both"/>
        <w:rPr>
          <w:rFonts w:ascii="Times New Roman" w:hAnsi="Times New Roman"/>
        </w:rPr>
      </w:pPr>
      <w:r>
        <w:rPr>
          <w:rFonts w:ascii="Times New Roman" w:hAnsi="Times New Roman"/>
        </w:rPr>
        <w:t xml:space="preserve">Demikianlah yang terjadi dalam kasus pembiayaan </w:t>
      </w:r>
      <w:r w:rsidRPr="00BB6C90">
        <w:rPr>
          <w:rFonts w:ascii="Times New Roman" w:hAnsi="Times New Roman"/>
          <w:i/>
          <w:iCs/>
        </w:rPr>
        <w:t>murabahah</w:t>
      </w:r>
      <w:r>
        <w:rPr>
          <w:rFonts w:ascii="Times New Roman" w:hAnsi="Times New Roman"/>
        </w:rPr>
        <w:t>. Pada mulanya, menurut konsepnya, bank syariah bertindak sebagai penjual, sementara nasabah sebagai pembelinya. Namun belakangan bank syariah hanya bertindak sebagai perantara yang menyediakan dana. Nasabah membeli sendiri barang yang diinginkannya</w:t>
      </w:r>
      <w:r w:rsidR="0070080F">
        <w:rPr>
          <w:rFonts w:ascii="Times New Roman" w:hAnsi="Times New Roman"/>
        </w:rPr>
        <w:t xml:space="preserve"> kepada penjual, sementara bank syariah hanya menyediakan dana untuk digunakan oleh nasabah dengan menggunakan akad </w:t>
      </w:r>
      <w:r w:rsidR="0070080F" w:rsidRPr="00BB6C90">
        <w:rPr>
          <w:rFonts w:ascii="Times New Roman" w:hAnsi="Times New Roman"/>
          <w:i/>
          <w:iCs/>
        </w:rPr>
        <w:t>wakalah</w:t>
      </w:r>
      <w:r w:rsidR="0070080F">
        <w:rPr>
          <w:rFonts w:ascii="Times New Roman" w:hAnsi="Times New Roman"/>
        </w:rPr>
        <w:t xml:space="preserve">. Oleh karena itu akad yang memayungi model transaksi tersebut dinamakan dengan </w:t>
      </w:r>
      <w:r w:rsidR="0070080F" w:rsidRPr="00BB6C90">
        <w:rPr>
          <w:rFonts w:ascii="Times New Roman" w:hAnsi="Times New Roman"/>
          <w:i/>
          <w:iCs/>
        </w:rPr>
        <w:t>bay’ al-</w:t>
      </w:r>
      <w:r w:rsidR="0070080F" w:rsidRPr="00BB6C90">
        <w:rPr>
          <w:rFonts w:ascii="Times New Roman" w:hAnsi="Times New Roman"/>
          <w:i/>
          <w:iCs/>
        </w:rPr>
        <w:lastRenderedPageBreak/>
        <w:t>murabahah bi al-wakalah</w:t>
      </w:r>
      <w:r w:rsidR="0070080F">
        <w:rPr>
          <w:rFonts w:ascii="Times New Roman" w:hAnsi="Times New Roman"/>
        </w:rPr>
        <w:t xml:space="preserve">. Dalam konstruk akad semacam ini peran bank syariah seolah sebagai pihak yang meminjami dana kepada nasabah untuk membeli barang yang dibutuhkannya dan kemudian </w:t>
      </w:r>
      <w:r w:rsidR="00BB6C90">
        <w:rPr>
          <w:rFonts w:ascii="Times New Roman" w:hAnsi="Times New Roman"/>
        </w:rPr>
        <w:t xml:space="preserve">nasabah </w:t>
      </w:r>
      <w:r w:rsidR="0070080F">
        <w:rPr>
          <w:rFonts w:ascii="Times New Roman" w:hAnsi="Times New Roman"/>
        </w:rPr>
        <w:t>mengangsurnya selama jangka waktu tertentu dengan tambahan margin keuntungan bagi pihak bank.</w:t>
      </w:r>
      <w:r w:rsidR="002E5A19">
        <w:rPr>
          <w:rStyle w:val="FootnoteReference"/>
          <w:rFonts w:ascii="Times New Roman" w:hAnsi="Times New Roman"/>
        </w:rPr>
        <w:footnoteReference w:id="11"/>
      </w:r>
      <w:r w:rsidR="002E5A19">
        <w:rPr>
          <w:rFonts w:ascii="Times New Roman" w:hAnsi="Times New Roman"/>
        </w:rPr>
        <w:t xml:space="preserve"> Jika demikian halnya apa bedanya akad ini dengan kredit di bank konvensional yang berbasis bunga?</w:t>
      </w:r>
    </w:p>
    <w:p w:rsidR="002E5A19" w:rsidRDefault="002E5A19" w:rsidP="00BB6C90">
      <w:pPr>
        <w:pStyle w:val="ListParagraph"/>
        <w:spacing w:line="360" w:lineRule="auto"/>
        <w:ind w:left="0" w:firstLine="709"/>
        <w:contextualSpacing/>
        <w:jc w:val="both"/>
        <w:rPr>
          <w:rFonts w:ascii="Times New Roman" w:hAnsi="Times New Roman"/>
        </w:rPr>
      </w:pPr>
      <w:r>
        <w:rPr>
          <w:rFonts w:ascii="Times New Roman" w:hAnsi="Times New Roman"/>
        </w:rPr>
        <w:t xml:space="preserve">Akan tetapi faktanya justru produk pembiayaan berbasis </w:t>
      </w:r>
      <w:r w:rsidRPr="00BB6C90">
        <w:rPr>
          <w:rFonts w:ascii="Times New Roman" w:hAnsi="Times New Roman"/>
          <w:i/>
          <w:iCs/>
        </w:rPr>
        <w:t>murabahah</w:t>
      </w:r>
      <w:r>
        <w:rPr>
          <w:rFonts w:ascii="Times New Roman" w:hAnsi="Times New Roman"/>
        </w:rPr>
        <w:t xml:space="preserve"> tersebut yang dominan di perbankan syariah, jauh melampaui produk pembiayaan yang berbasis bagi hasil.</w:t>
      </w:r>
      <w:r>
        <w:rPr>
          <w:rStyle w:val="FootnoteReference"/>
          <w:rFonts w:ascii="Times New Roman" w:hAnsi="Times New Roman"/>
        </w:rPr>
        <w:footnoteReference w:id="12"/>
      </w:r>
      <w:r>
        <w:rPr>
          <w:rFonts w:ascii="Times New Roman" w:hAnsi="Times New Roman"/>
        </w:rPr>
        <w:t xml:space="preserve"> Padahal bagi hasi</w:t>
      </w:r>
      <w:r w:rsidR="000F40D4">
        <w:rPr>
          <w:rFonts w:ascii="Times New Roman" w:hAnsi="Times New Roman"/>
        </w:rPr>
        <w:t>l</w:t>
      </w:r>
      <w:r>
        <w:rPr>
          <w:rFonts w:ascii="Times New Roman" w:hAnsi="Times New Roman"/>
        </w:rPr>
        <w:t xml:space="preserve"> inilah yang selama ini diidealkan sebagai pengganti bunga di bank syariah, bukannya </w:t>
      </w:r>
      <w:r w:rsidRPr="00BB6C90">
        <w:rPr>
          <w:rFonts w:ascii="Times New Roman" w:hAnsi="Times New Roman"/>
          <w:i/>
          <w:iCs/>
        </w:rPr>
        <w:t>murabahah</w:t>
      </w:r>
      <w:r>
        <w:rPr>
          <w:rFonts w:ascii="Times New Roman" w:hAnsi="Times New Roman"/>
        </w:rPr>
        <w:t>.</w:t>
      </w:r>
      <w:r w:rsidR="000F40D4">
        <w:rPr>
          <w:rFonts w:ascii="Times New Roman" w:hAnsi="Times New Roman"/>
        </w:rPr>
        <w:t xml:space="preserve"> Masih menurut Nienhaus, tidak ada perbedaan fundamental antara bank syariah dengan bank konvensional berkenaan dengan teknik pembiayaan</w:t>
      </w:r>
      <w:r w:rsidR="00BB6C90">
        <w:rPr>
          <w:rFonts w:ascii="Times New Roman" w:hAnsi="Times New Roman"/>
        </w:rPr>
        <w:t xml:space="preserve"> dan</w:t>
      </w:r>
      <w:r w:rsidR="000F40D4">
        <w:rPr>
          <w:rFonts w:ascii="Times New Roman" w:hAnsi="Times New Roman"/>
        </w:rPr>
        <w:t xml:space="preserve"> tipe proyek</w:t>
      </w:r>
      <w:r w:rsidR="00A25AEA">
        <w:rPr>
          <w:rFonts w:ascii="Times New Roman" w:hAnsi="Times New Roman"/>
        </w:rPr>
        <w:t xml:space="preserve">/usaha beserta pengusaha yang dibiayai. Memang ada perbedaan dari aspek hukumnya (akad yang mendasarinya), namun perbedaan dari aspek ekonominya tampaknya hanya bersifat marginal pada level ekonomi mikro. Akan tetapi perbedaan pada level ekonomi makro tampak ada beberapa hal yang signifikan, di antaranya adalah instrumen keuangan untuk manajemen likuiditas bank syariah </w:t>
      </w:r>
      <w:r w:rsidR="00CD58D4">
        <w:rPr>
          <w:rFonts w:ascii="Times New Roman" w:hAnsi="Times New Roman"/>
        </w:rPr>
        <w:t xml:space="preserve">yang </w:t>
      </w:r>
      <w:r w:rsidR="00A25AEA">
        <w:rPr>
          <w:rFonts w:ascii="Times New Roman" w:hAnsi="Times New Roman"/>
        </w:rPr>
        <w:t xml:space="preserve">masih </w:t>
      </w:r>
      <w:r w:rsidR="00CD58D4">
        <w:rPr>
          <w:rFonts w:ascii="Times New Roman" w:hAnsi="Times New Roman"/>
        </w:rPr>
        <w:t>ter</w:t>
      </w:r>
      <w:r w:rsidR="00F973AF">
        <w:rPr>
          <w:rFonts w:ascii="Times New Roman" w:hAnsi="Times New Roman"/>
        </w:rPr>
        <w:t>t</w:t>
      </w:r>
      <w:r w:rsidR="00CD58D4">
        <w:rPr>
          <w:rFonts w:ascii="Times New Roman" w:hAnsi="Times New Roman"/>
        </w:rPr>
        <w:t xml:space="preserve">inggal dibandingkan </w:t>
      </w:r>
      <w:r w:rsidR="00BB6C90">
        <w:rPr>
          <w:rFonts w:ascii="Times New Roman" w:hAnsi="Times New Roman"/>
        </w:rPr>
        <w:t xml:space="preserve">dengan </w:t>
      </w:r>
      <w:r w:rsidR="00CD58D4">
        <w:rPr>
          <w:rFonts w:ascii="Times New Roman" w:hAnsi="Times New Roman"/>
        </w:rPr>
        <w:t>bank konvensional.</w:t>
      </w:r>
      <w:r w:rsidR="00CD58D4">
        <w:rPr>
          <w:rStyle w:val="FootnoteReference"/>
          <w:rFonts w:ascii="Times New Roman" w:hAnsi="Times New Roman"/>
        </w:rPr>
        <w:footnoteReference w:id="13"/>
      </w:r>
    </w:p>
    <w:p w:rsidR="00022211" w:rsidRDefault="004B36A0" w:rsidP="00F973AF">
      <w:pPr>
        <w:pStyle w:val="ListParagraph"/>
        <w:spacing w:line="360" w:lineRule="auto"/>
        <w:ind w:left="0" w:firstLine="709"/>
        <w:contextualSpacing/>
        <w:jc w:val="both"/>
        <w:rPr>
          <w:rFonts w:ascii="Times New Roman" w:hAnsi="Times New Roman"/>
        </w:rPr>
      </w:pPr>
      <w:r>
        <w:rPr>
          <w:rFonts w:ascii="Times New Roman" w:hAnsi="Times New Roman"/>
        </w:rPr>
        <w:t xml:space="preserve">Tulisan lainnya yang juga cukup kritis adalah karya Timur Kuran, di antaranya berjudul </w:t>
      </w:r>
      <w:r w:rsidR="00022211">
        <w:rPr>
          <w:rFonts w:ascii="Times New Roman" w:hAnsi="Times New Roman"/>
        </w:rPr>
        <w:t xml:space="preserve">“The Economic System in Contemporary Islamic Thought: Interpretation and Assesment” (1986). Dalam tulisan ini </w:t>
      </w:r>
      <w:r w:rsidR="00BB6C90">
        <w:rPr>
          <w:rFonts w:ascii="Times New Roman" w:hAnsi="Times New Roman"/>
        </w:rPr>
        <w:t>K</w:t>
      </w:r>
      <w:r w:rsidR="00022211">
        <w:rPr>
          <w:rFonts w:ascii="Times New Roman" w:hAnsi="Times New Roman"/>
        </w:rPr>
        <w:t>uran banyak mengkritisi doktrin ekonomi Islam dikaitkan dengan praktik aktualnya</w:t>
      </w:r>
      <w:r w:rsidR="00BB6C90">
        <w:rPr>
          <w:rFonts w:ascii="Times New Roman" w:hAnsi="Times New Roman"/>
        </w:rPr>
        <w:t>.</w:t>
      </w:r>
      <w:r w:rsidR="00022211">
        <w:rPr>
          <w:rFonts w:ascii="Times New Roman" w:hAnsi="Times New Roman"/>
        </w:rPr>
        <w:t xml:space="preserve"> </w:t>
      </w:r>
      <w:r w:rsidR="00BB6C90">
        <w:rPr>
          <w:rFonts w:ascii="Times New Roman" w:hAnsi="Times New Roman"/>
        </w:rPr>
        <w:t>D</w:t>
      </w:r>
      <w:r w:rsidR="00022211">
        <w:rPr>
          <w:rFonts w:ascii="Times New Roman" w:hAnsi="Times New Roman"/>
        </w:rPr>
        <w:t xml:space="preserve">i antaranya ia menyatakan bahwa </w:t>
      </w:r>
      <w:r w:rsidR="000B1752" w:rsidRPr="00BB6C90">
        <w:rPr>
          <w:rFonts w:ascii="Times New Roman" w:hAnsi="Times New Roman"/>
          <w:i/>
          <w:iCs/>
        </w:rPr>
        <w:t>mudarabah</w:t>
      </w:r>
      <w:r w:rsidR="000B1752">
        <w:rPr>
          <w:rFonts w:ascii="Times New Roman" w:hAnsi="Times New Roman"/>
        </w:rPr>
        <w:t xml:space="preserve"> sebagaimana dipraktikkan di perbankan syariah dewasa ini menghadapi beberapa masalah. Pertama, menurut </w:t>
      </w:r>
      <w:r w:rsidR="000B1752">
        <w:rPr>
          <w:rFonts w:ascii="Times New Roman" w:hAnsi="Times New Roman"/>
        </w:rPr>
        <w:lastRenderedPageBreak/>
        <w:t>doktrin</w:t>
      </w:r>
      <w:r w:rsidR="00BB6C90">
        <w:rPr>
          <w:rFonts w:ascii="Times New Roman" w:hAnsi="Times New Roman"/>
        </w:rPr>
        <w:t xml:space="preserve"> ekonomi Islam, </w:t>
      </w:r>
      <w:r w:rsidR="000B1752">
        <w:rPr>
          <w:rFonts w:ascii="Times New Roman" w:hAnsi="Times New Roman"/>
        </w:rPr>
        <w:t xml:space="preserve">kedua belah pihak bebas menentukan nisbah bagi </w:t>
      </w:r>
      <w:r w:rsidR="00F973AF">
        <w:rPr>
          <w:rFonts w:ascii="Times New Roman" w:hAnsi="Times New Roman"/>
        </w:rPr>
        <w:t xml:space="preserve">untung </w:t>
      </w:r>
      <w:r w:rsidR="000B1752">
        <w:rPr>
          <w:rFonts w:ascii="Times New Roman" w:hAnsi="Times New Roman"/>
        </w:rPr>
        <w:t xml:space="preserve">dan ruginya, namun jika hal ini dilakukan biasanya pihak yang posisinya lemah cenderung mudah dieksploitasi. Kedua, manakala </w:t>
      </w:r>
      <w:r w:rsidR="000B1752" w:rsidRPr="00BB6C90">
        <w:rPr>
          <w:rFonts w:ascii="Times New Roman" w:hAnsi="Times New Roman"/>
          <w:i/>
          <w:iCs/>
        </w:rPr>
        <w:t>mudaribnya</w:t>
      </w:r>
      <w:r w:rsidR="000B1752">
        <w:rPr>
          <w:rFonts w:ascii="Times New Roman" w:hAnsi="Times New Roman"/>
        </w:rPr>
        <w:t xml:space="preserve"> adalah perusahaan, bisa terjadi perusahaan tidak melaporkan keuntungan yang berasal dari pinjaman bank tersebut.</w:t>
      </w:r>
      <w:r w:rsidR="000B1752">
        <w:rPr>
          <w:rStyle w:val="FootnoteReference"/>
          <w:rFonts w:ascii="Times New Roman" w:hAnsi="Times New Roman"/>
        </w:rPr>
        <w:footnoteReference w:id="14"/>
      </w:r>
      <w:r w:rsidR="00BB6C90">
        <w:rPr>
          <w:rFonts w:ascii="Times New Roman" w:hAnsi="Times New Roman"/>
        </w:rPr>
        <w:t xml:space="preserve"> Prob</w:t>
      </w:r>
      <w:r w:rsidR="000B1752">
        <w:rPr>
          <w:rFonts w:ascii="Times New Roman" w:hAnsi="Times New Roman"/>
        </w:rPr>
        <w:t>l</w:t>
      </w:r>
      <w:r w:rsidR="00BB6C90">
        <w:rPr>
          <w:rFonts w:ascii="Times New Roman" w:hAnsi="Times New Roman"/>
        </w:rPr>
        <w:t>e</w:t>
      </w:r>
      <w:r w:rsidR="000B1752">
        <w:rPr>
          <w:rFonts w:ascii="Times New Roman" w:hAnsi="Times New Roman"/>
        </w:rPr>
        <w:t>m semacam inilah yang membuat perbankan syariah kesulitan menerapkannya dalam produk-produk pembiayaannya.</w:t>
      </w:r>
      <w:r w:rsidR="00A510D9">
        <w:rPr>
          <w:rFonts w:ascii="Times New Roman" w:hAnsi="Times New Roman"/>
        </w:rPr>
        <w:t xml:space="preserve"> Hal ini menunjukkan bahwa paradigma yang mengharuskan produk bank syariah berbasis akad muamalah fiqhiyyah justru menyulitan bank syariah itu sendiri.</w:t>
      </w:r>
    </w:p>
    <w:p w:rsidR="000B1752" w:rsidRDefault="000B1752" w:rsidP="00492FBF">
      <w:pPr>
        <w:pStyle w:val="ListParagraph"/>
        <w:spacing w:line="360" w:lineRule="auto"/>
        <w:ind w:left="0" w:firstLine="709"/>
        <w:contextualSpacing/>
        <w:jc w:val="both"/>
        <w:rPr>
          <w:rFonts w:ascii="Times New Roman" w:hAnsi="Times New Roman"/>
        </w:rPr>
      </w:pPr>
      <w:r>
        <w:rPr>
          <w:rFonts w:ascii="Times New Roman" w:hAnsi="Times New Roman"/>
        </w:rPr>
        <w:t xml:space="preserve">Di samping itu </w:t>
      </w:r>
      <w:r w:rsidR="00A510D9">
        <w:rPr>
          <w:rFonts w:ascii="Times New Roman" w:hAnsi="Times New Roman"/>
        </w:rPr>
        <w:t xml:space="preserve">Kuran menyatakan bahwa bank syariah dalam praktiknya tidak terbebas sepenuhnya dari bunga. Sebagaimana fukaha abad pertengahan, para ahli ekonomi Islam </w:t>
      </w:r>
      <w:r w:rsidR="00F973AF">
        <w:rPr>
          <w:rFonts w:ascii="Times New Roman" w:hAnsi="Times New Roman"/>
        </w:rPr>
        <w:t xml:space="preserve">modern </w:t>
      </w:r>
      <w:r w:rsidR="00A510D9">
        <w:rPr>
          <w:rFonts w:ascii="Times New Roman" w:hAnsi="Times New Roman"/>
        </w:rPr>
        <w:t>mendapatkan tekanan dari para praktisi</w:t>
      </w:r>
      <w:r w:rsidR="00492FBF">
        <w:rPr>
          <w:rFonts w:ascii="Times New Roman" w:hAnsi="Times New Roman"/>
        </w:rPr>
        <w:t xml:space="preserve"> untuk melegitimasi berbagai bentuk pembiayaan yang mengandung bunga secara terselubung. Contohnya dalam hal ini adalah </w:t>
      </w:r>
      <w:r w:rsidR="00492FBF" w:rsidRPr="00BB6C90">
        <w:rPr>
          <w:rFonts w:ascii="Times New Roman" w:hAnsi="Times New Roman"/>
          <w:i/>
          <w:iCs/>
        </w:rPr>
        <w:t>bay’ mu`ajjal</w:t>
      </w:r>
      <w:r w:rsidR="00492FBF">
        <w:rPr>
          <w:rFonts w:ascii="Times New Roman" w:hAnsi="Times New Roman"/>
        </w:rPr>
        <w:t xml:space="preserve"> yang diilustrasikan sebagai penjualan barang seharga 50, oleh pihak bank dijual menjadi 55 setelah disepakati jangka waktu pelunasannya. Jika diasumsikan jangka waktunya satu tahun, maka secara teknis tidak ada bedanya dengan pinjaman sebesar 50 dalam satu tahun dengan bunga 10 persen.</w:t>
      </w:r>
      <w:r w:rsidR="00492FBF">
        <w:rPr>
          <w:rStyle w:val="FootnoteReference"/>
          <w:rFonts w:ascii="Times New Roman" w:hAnsi="Times New Roman"/>
        </w:rPr>
        <w:footnoteReference w:id="15"/>
      </w:r>
      <w:r w:rsidR="00492FBF">
        <w:rPr>
          <w:rFonts w:ascii="Times New Roman" w:hAnsi="Times New Roman"/>
        </w:rPr>
        <w:t xml:space="preserve"> Hal ini menujukkan kendati bank syariah sudah berusaha sedemikan rupa membatasi diri dengan akad-akad syariah, ia tetap tidak aman dari jebakan-jebakan bunga. </w:t>
      </w:r>
    </w:p>
    <w:p w:rsidR="00400D36" w:rsidRDefault="00400D36" w:rsidP="0014267F">
      <w:pPr>
        <w:pStyle w:val="ListParagraph"/>
        <w:spacing w:line="360" w:lineRule="auto"/>
        <w:ind w:left="0" w:firstLine="709"/>
        <w:contextualSpacing/>
        <w:jc w:val="both"/>
        <w:rPr>
          <w:rFonts w:ascii="Times New Roman" w:hAnsi="Times New Roman"/>
        </w:rPr>
      </w:pPr>
      <w:r>
        <w:rPr>
          <w:rFonts w:ascii="Times New Roman" w:hAnsi="Times New Roman"/>
        </w:rPr>
        <w:t xml:space="preserve">Abdullah Saeed juga dikenal sebagai salah satu kritikus bank syariah dengan karyanya yang cukup terkenal, </w:t>
      </w:r>
      <w:r w:rsidRPr="008009A7">
        <w:rPr>
          <w:rFonts w:ascii="Times New Roman" w:hAnsi="Times New Roman"/>
          <w:i/>
          <w:iCs/>
        </w:rPr>
        <w:t>Islamic Banking and Interest: a Study of The Prohibition of Riba and Its Contemporary Interpretaion</w:t>
      </w:r>
      <w:r>
        <w:rPr>
          <w:rFonts w:ascii="Times New Roman" w:hAnsi="Times New Roman"/>
        </w:rPr>
        <w:t xml:space="preserve"> (1996). Di dalam bukunya ini ia banyak mengkritisi bank syariah, terutama berkenaan dengan praktik yang tidak sesuai dengan doktrin yang mendasarinya.</w:t>
      </w:r>
      <w:r w:rsidR="008009A7">
        <w:rPr>
          <w:rFonts w:ascii="Times New Roman" w:hAnsi="Times New Roman"/>
        </w:rPr>
        <w:t xml:space="preserve"> Di antaranya dalam pembiayaan </w:t>
      </w:r>
      <w:r w:rsidR="008009A7" w:rsidRPr="00BB6C90">
        <w:rPr>
          <w:rFonts w:ascii="Times New Roman" w:hAnsi="Times New Roman"/>
          <w:i/>
          <w:iCs/>
        </w:rPr>
        <w:t>mudarabah</w:t>
      </w:r>
      <w:r w:rsidR="0014267F">
        <w:rPr>
          <w:rFonts w:ascii="Times New Roman" w:hAnsi="Times New Roman"/>
        </w:rPr>
        <w:t xml:space="preserve"> bank syariah pada umumnya mensyaratkan adanya jaminan dari nasabah, kendati hukum Islam melarang hal itu. Mereka berkilah dengan menyatakan bahwa jaminan tersebut tidak untuk memastikan pengembalian modal, tetapi untuk memastikan kinerja </w:t>
      </w:r>
      <w:r w:rsidR="0014267F" w:rsidRPr="00BB6C90">
        <w:rPr>
          <w:rFonts w:ascii="Times New Roman" w:hAnsi="Times New Roman"/>
          <w:i/>
          <w:iCs/>
        </w:rPr>
        <w:t>mudarib</w:t>
      </w:r>
      <w:r w:rsidR="0014267F">
        <w:rPr>
          <w:rFonts w:ascii="Times New Roman" w:hAnsi="Times New Roman"/>
        </w:rPr>
        <w:t xml:space="preserve"> sesuai dengan </w:t>
      </w:r>
      <w:r w:rsidR="0014267F">
        <w:rPr>
          <w:rFonts w:ascii="Times New Roman" w:hAnsi="Times New Roman"/>
        </w:rPr>
        <w:lastRenderedPageBreak/>
        <w:t>perjanjian yang disepakati.</w:t>
      </w:r>
      <w:r w:rsidR="0014267F">
        <w:rPr>
          <w:rStyle w:val="FootnoteReference"/>
          <w:rFonts w:ascii="Times New Roman" w:hAnsi="Times New Roman"/>
        </w:rPr>
        <w:footnoteReference w:id="16"/>
      </w:r>
      <w:r w:rsidR="00256AF7">
        <w:rPr>
          <w:rFonts w:ascii="Times New Roman" w:hAnsi="Times New Roman"/>
        </w:rPr>
        <w:t xml:space="preserve"> Demikian juga dengan pembiayaan yang berbasis </w:t>
      </w:r>
      <w:r w:rsidR="00256AF7" w:rsidRPr="00C30A57">
        <w:rPr>
          <w:rFonts w:ascii="Times New Roman" w:hAnsi="Times New Roman"/>
          <w:i/>
          <w:iCs/>
        </w:rPr>
        <w:t>musyarakah</w:t>
      </w:r>
      <w:r w:rsidR="00256AF7">
        <w:rPr>
          <w:rFonts w:ascii="Times New Roman" w:hAnsi="Times New Roman"/>
        </w:rPr>
        <w:t>, kendati hukum Islam tidak membolehkan namun bank syariah tetap mensyaratkan jaminan dalam pembiayaannya.</w:t>
      </w:r>
      <w:r w:rsidR="00256AF7">
        <w:rPr>
          <w:rStyle w:val="FootnoteReference"/>
          <w:rFonts w:ascii="Times New Roman" w:hAnsi="Times New Roman"/>
        </w:rPr>
        <w:footnoteReference w:id="17"/>
      </w:r>
    </w:p>
    <w:p w:rsidR="004B36A0" w:rsidRDefault="00256AF7" w:rsidP="00D016D9">
      <w:pPr>
        <w:pStyle w:val="ListParagraph"/>
        <w:spacing w:line="360" w:lineRule="auto"/>
        <w:ind w:left="0" w:firstLine="709"/>
        <w:contextualSpacing/>
        <w:jc w:val="both"/>
        <w:rPr>
          <w:rFonts w:ascii="Times New Roman" w:hAnsi="Times New Roman"/>
        </w:rPr>
      </w:pPr>
      <w:r>
        <w:rPr>
          <w:rFonts w:ascii="Times New Roman" w:hAnsi="Times New Roman"/>
        </w:rPr>
        <w:t xml:space="preserve">Di samping itu hal penting yang ia soroti adalah problem mendasar dalam penerapan PLS </w:t>
      </w:r>
      <w:r w:rsidRPr="00C37E66">
        <w:rPr>
          <w:rFonts w:ascii="Times New Roman" w:hAnsi="Times New Roman"/>
          <w:i/>
          <w:iCs/>
        </w:rPr>
        <w:t>(Profit and Loss Sharing)</w:t>
      </w:r>
      <w:r>
        <w:rPr>
          <w:rFonts w:ascii="Times New Roman" w:hAnsi="Times New Roman"/>
        </w:rPr>
        <w:t xml:space="preserve"> melalui duo akad, </w:t>
      </w:r>
      <w:r w:rsidRPr="00C30A57">
        <w:rPr>
          <w:rFonts w:ascii="Times New Roman" w:hAnsi="Times New Roman"/>
          <w:i/>
          <w:iCs/>
        </w:rPr>
        <w:t>mudarabah dan musyarakah</w:t>
      </w:r>
      <w:r w:rsidR="00C37E66">
        <w:rPr>
          <w:rFonts w:ascii="Times New Roman" w:hAnsi="Times New Roman"/>
        </w:rPr>
        <w:t>, di perbankan syariah</w:t>
      </w:r>
      <w:r>
        <w:rPr>
          <w:rFonts w:ascii="Times New Roman" w:hAnsi="Times New Roman"/>
        </w:rPr>
        <w:t xml:space="preserve">. </w:t>
      </w:r>
      <w:r w:rsidR="00C37E66">
        <w:rPr>
          <w:rFonts w:ascii="Times New Roman" w:hAnsi="Times New Roman"/>
        </w:rPr>
        <w:t>Dalam praktik perbankan, pembiayaan berbasis akad bagi hasil tersebut kurang signifikan dari keseluruhan produk pembiayaan. Menurut para peneliti</w:t>
      </w:r>
      <w:r w:rsidR="00E91B64">
        <w:rPr>
          <w:rFonts w:ascii="Times New Roman" w:hAnsi="Times New Roman"/>
        </w:rPr>
        <w:t>,</w:t>
      </w:r>
      <w:r w:rsidR="00C37E66">
        <w:rPr>
          <w:rFonts w:ascii="Times New Roman" w:hAnsi="Times New Roman"/>
        </w:rPr>
        <w:t xml:space="preserve"> problem tersebut </w:t>
      </w:r>
      <w:r w:rsidR="00E91B64">
        <w:rPr>
          <w:rFonts w:ascii="Times New Roman" w:hAnsi="Times New Roman"/>
        </w:rPr>
        <w:t>berpangkal dari beberapa faktor, yakni: standar moral yang rendah di kebanyakan masyarakat muslim, skema PLS itu sendiri sesungguhnya tidak cocok untuk pembiayaan modern</w:t>
      </w:r>
      <w:r w:rsidR="00D016D9">
        <w:rPr>
          <w:rFonts w:ascii="Times New Roman" w:hAnsi="Times New Roman"/>
        </w:rPr>
        <w:t xml:space="preserve">, mengandaikan keterlibatan dalam bisnis agar memahami secara detail kinerja </w:t>
      </w:r>
      <w:r w:rsidR="00D016D9" w:rsidRPr="00C30A57">
        <w:rPr>
          <w:rFonts w:ascii="Times New Roman" w:hAnsi="Times New Roman"/>
          <w:i/>
          <w:iCs/>
        </w:rPr>
        <w:t>mudarib</w:t>
      </w:r>
      <w:r w:rsidR="00D016D9">
        <w:rPr>
          <w:rFonts w:ascii="Times New Roman" w:hAnsi="Times New Roman"/>
        </w:rPr>
        <w:t>, skema PLS tidak menarik untuk pembiayaan bisnis, dan skema PLS dianggap tidak efisien.</w:t>
      </w:r>
      <w:r w:rsidR="00D016D9">
        <w:rPr>
          <w:rStyle w:val="FootnoteReference"/>
          <w:rFonts w:ascii="Times New Roman" w:hAnsi="Times New Roman"/>
        </w:rPr>
        <w:footnoteReference w:id="18"/>
      </w:r>
      <w:r w:rsidR="00D016D9">
        <w:rPr>
          <w:rFonts w:ascii="Times New Roman" w:hAnsi="Times New Roman"/>
        </w:rPr>
        <w:t xml:space="preserve"> Gambaran problem penerapan PLS di atas menunjukkan bahwa paradigma keharusan berbasis akad muamalah fiqhiyyah perlu ditinjau ulang.</w:t>
      </w:r>
    </w:p>
    <w:p w:rsidR="00C30A57" w:rsidRDefault="00C30A57" w:rsidP="008E3D60">
      <w:pPr>
        <w:pStyle w:val="ListParagraph"/>
        <w:spacing w:line="360" w:lineRule="auto"/>
        <w:ind w:left="0" w:firstLine="709"/>
        <w:contextualSpacing/>
        <w:jc w:val="both"/>
        <w:rPr>
          <w:rFonts w:ascii="Times New Roman" w:hAnsi="Times New Roman"/>
        </w:rPr>
      </w:pPr>
      <w:r>
        <w:rPr>
          <w:rFonts w:ascii="Times New Roman" w:hAnsi="Times New Roman"/>
        </w:rPr>
        <w:t>M. Dawam Rahar</w:t>
      </w:r>
      <w:r w:rsidR="000B7A38">
        <w:rPr>
          <w:rFonts w:ascii="Times New Roman" w:hAnsi="Times New Roman"/>
        </w:rPr>
        <w:t>d</w:t>
      </w:r>
      <w:r>
        <w:rPr>
          <w:rFonts w:ascii="Times New Roman" w:hAnsi="Times New Roman"/>
        </w:rPr>
        <w:t>jo, cendekiawan muslim yang kritis terhadap ekonomi Islam pada umumnya dan perbankan syariah pada khususnya,</w:t>
      </w:r>
      <w:r>
        <w:rPr>
          <w:rStyle w:val="FootnoteReference"/>
          <w:rFonts w:ascii="Times New Roman" w:hAnsi="Times New Roman"/>
        </w:rPr>
        <w:footnoteReference w:id="19"/>
      </w:r>
      <w:r>
        <w:rPr>
          <w:rFonts w:ascii="Times New Roman" w:hAnsi="Times New Roman"/>
        </w:rPr>
        <w:t xml:space="preserve"> juga banyak menulis tentang pandangan kritisnya tersebut. Di antara karya terbarunya adalah </w:t>
      </w:r>
      <w:r w:rsidR="008E3D60">
        <w:rPr>
          <w:rFonts w:ascii="Times New Roman" w:hAnsi="Times New Roman"/>
        </w:rPr>
        <w:t xml:space="preserve">buku berjudul </w:t>
      </w:r>
      <w:r w:rsidRPr="008E3D60">
        <w:rPr>
          <w:rFonts w:ascii="Times New Roman" w:hAnsi="Times New Roman"/>
          <w:i/>
          <w:iCs/>
        </w:rPr>
        <w:t>Arsitektur Ekonomi Islam: Menuju Kesejahteraan Sosial</w:t>
      </w:r>
      <w:r>
        <w:rPr>
          <w:rFonts w:ascii="Times New Roman" w:hAnsi="Times New Roman"/>
        </w:rPr>
        <w:t xml:space="preserve"> (2015).</w:t>
      </w:r>
      <w:r w:rsidR="008E3D60">
        <w:rPr>
          <w:rFonts w:ascii="Times New Roman" w:hAnsi="Times New Roman"/>
        </w:rPr>
        <w:t xml:space="preserve"> Di dalam bukunya tersebut ia menyatakan bahwa di samping sukses yang telah diraihnya, bank syariah juga menghadapi berbagai hambatan, yakni:</w:t>
      </w:r>
      <w:r w:rsidR="00940D6B">
        <w:rPr>
          <w:rStyle w:val="FootnoteReference"/>
          <w:rFonts w:ascii="Times New Roman" w:hAnsi="Times New Roman"/>
        </w:rPr>
        <w:footnoteReference w:id="20"/>
      </w:r>
    </w:p>
    <w:p w:rsidR="008E3D60" w:rsidRDefault="00940D6B" w:rsidP="00B60DA8">
      <w:pPr>
        <w:pStyle w:val="ListParagraph"/>
        <w:numPr>
          <w:ilvl w:val="0"/>
          <w:numId w:val="16"/>
        </w:numPr>
        <w:spacing w:line="360" w:lineRule="auto"/>
        <w:ind w:left="567" w:hanging="283"/>
        <w:contextualSpacing/>
        <w:jc w:val="both"/>
        <w:rPr>
          <w:rFonts w:ascii="Times New Roman" w:hAnsi="Times New Roman"/>
        </w:rPr>
      </w:pPr>
      <w:r>
        <w:rPr>
          <w:rFonts w:ascii="Times New Roman" w:hAnsi="Times New Roman"/>
        </w:rPr>
        <w:t>B</w:t>
      </w:r>
      <w:r w:rsidR="008E3D60">
        <w:rPr>
          <w:rFonts w:ascii="Times New Roman" w:hAnsi="Times New Roman"/>
        </w:rPr>
        <w:t xml:space="preserve">ank syariah </w:t>
      </w:r>
      <w:r>
        <w:rPr>
          <w:rFonts w:ascii="Times New Roman" w:hAnsi="Times New Roman"/>
        </w:rPr>
        <w:t xml:space="preserve">tidak mudah mengeluarkan produk baru karena </w:t>
      </w:r>
      <w:r w:rsidR="00B60DA8">
        <w:rPr>
          <w:rFonts w:ascii="Times New Roman" w:hAnsi="Times New Roman"/>
        </w:rPr>
        <w:t xml:space="preserve">dianggap </w:t>
      </w:r>
      <w:r>
        <w:rPr>
          <w:rFonts w:ascii="Times New Roman" w:hAnsi="Times New Roman"/>
        </w:rPr>
        <w:t>syubhat berdasarkan pertimbangan DPS.</w:t>
      </w:r>
    </w:p>
    <w:p w:rsidR="00940D6B" w:rsidRDefault="00940D6B" w:rsidP="00940D6B">
      <w:pPr>
        <w:pStyle w:val="ListParagraph"/>
        <w:numPr>
          <w:ilvl w:val="0"/>
          <w:numId w:val="16"/>
        </w:numPr>
        <w:spacing w:line="360" w:lineRule="auto"/>
        <w:ind w:left="567" w:hanging="283"/>
        <w:contextualSpacing/>
        <w:jc w:val="both"/>
        <w:rPr>
          <w:rFonts w:ascii="Times New Roman" w:hAnsi="Times New Roman"/>
        </w:rPr>
      </w:pPr>
      <w:r>
        <w:rPr>
          <w:rFonts w:ascii="Times New Roman" w:hAnsi="Times New Roman"/>
        </w:rPr>
        <w:lastRenderedPageBreak/>
        <w:t xml:space="preserve">Jika terdapat kelebihan dana bank syariah dilarang menyimpannya di SBI dan sebagai gantinya ia disimpan di giro </w:t>
      </w:r>
      <w:r w:rsidRPr="005C5059">
        <w:rPr>
          <w:rFonts w:ascii="Times New Roman" w:hAnsi="Times New Roman"/>
          <w:i/>
          <w:iCs/>
        </w:rPr>
        <w:t>wadi’ah</w:t>
      </w:r>
      <w:r>
        <w:rPr>
          <w:rFonts w:ascii="Times New Roman" w:hAnsi="Times New Roman"/>
        </w:rPr>
        <w:t xml:space="preserve"> BI yang bagi hasilnya lebih kecil dibandingkan suku bunga SBI.</w:t>
      </w:r>
    </w:p>
    <w:p w:rsidR="00940D6B" w:rsidRDefault="00940D6B" w:rsidP="00B60DA8">
      <w:pPr>
        <w:pStyle w:val="ListParagraph"/>
        <w:numPr>
          <w:ilvl w:val="0"/>
          <w:numId w:val="16"/>
        </w:numPr>
        <w:spacing w:line="360" w:lineRule="auto"/>
        <w:ind w:left="567" w:hanging="283"/>
        <w:contextualSpacing/>
        <w:jc w:val="both"/>
        <w:rPr>
          <w:rFonts w:ascii="Times New Roman" w:hAnsi="Times New Roman"/>
        </w:rPr>
      </w:pPr>
      <w:r>
        <w:rPr>
          <w:rFonts w:ascii="Times New Roman" w:hAnsi="Times New Roman"/>
        </w:rPr>
        <w:t>Bank syari</w:t>
      </w:r>
      <w:r w:rsidR="00B60DA8">
        <w:rPr>
          <w:rFonts w:ascii="Times New Roman" w:hAnsi="Times New Roman"/>
        </w:rPr>
        <w:t>a</w:t>
      </w:r>
      <w:r>
        <w:rPr>
          <w:rFonts w:ascii="Times New Roman" w:hAnsi="Times New Roman"/>
        </w:rPr>
        <w:t xml:space="preserve">h terkena pajak untuk transaksi </w:t>
      </w:r>
      <w:r w:rsidRPr="005C5059">
        <w:rPr>
          <w:rFonts w:ascii="Times New Roman" w:hAnsi="Times New Roman"/>
          <w:i/>
          <w:iCs/>
        </w:rPr>
        <w:t>murabahah</w:t>
      </w:r>
      <w:r>
        <w:rPr>
          <w:rFonts w:ascii="Times New Roman" w:hAnsi="Times New Roman"/>
        </w:rPr>
        <w:t>, karena dianggap sebagai produk perdagangan, bukan sekedar produk bank.</w:t>
      </w:r>
    </w:p>
    <w:p w:rsidR="00424AF9" w:rsidRDefault="00B60DA8" w:rsidP="00B60DA8">
      <w:pPr>
        <w:pStyle w:val="ListParagraph"/>
        <w:spacing w:line="360" w:lineRule="auto"/>
        <w:ind w:left="0" w:firstLine="709"/>
        <w:contextualSpacing/>
        <w:jc w:val="both"/>
        <w:rPr>
          <w:rFonts w:ascii="Times New Roman" w:hAnsi="Times New Roman"/>
        </w:rPr>
      </w:pPr>
      <w:r>
        <w:rPr>
          <w:rFonts w:ascii="Times New Roman" w:hAnsi="Times New Roman"/>
        </w:rPr>
        <w:t>Problem di atas menunjukkan bahwa paradigma pengharaman bunga sedikit banyak berpengaruh terhadap kreativitas dan inovasi bank syariah dalam mengembangkan produknya. Pada gilirannya hal ini juga mengurangi kemampuan mereka untuk dapat bersaing dengan bank-bank konvensional</w:t>
      </w:r>
      <w:r w:rsidR="00424AF9">
        <w:rPr>
          <w:rFonts w:ascii="Times New Roman" w:hAnsi="Times New Roman"/>
        </w:rPr>
        <w:t xml:space="preserve">. </w:t>
      </w:r>
    </w:p>
    <w:p w:rsidR="008E3D60" w:rsidRDefault="00424AF9" w:rsidP="003B4D00">
      <w:pPr>
        <w:pStyle w:val="ListParagraph"/>
        <w:spacing w:line="360" w:lineRule="auto"/>
        <w:ind w:left="0" w:firstLine="709"/>
        <w:contextualSpacing/>
        <w:jc w:val="both"/>
        <w:rPr>
          <w:rFonts w:ascii="Times New Roman" w:hAnsi="Times New Roman"/>
        </w:rPr>
      </w:pPr>
      <w:r>
        <w:rPr>
          <w:rFonts w:ascii="Times New Roman" w:hAnsi="Times New Roman"/>
        </w:rPr>
        <w:t>Pada bagian lain ia menunjukkan adanya pandangan para cendekiawan muslim yang saling berseberangan dalam menilai ekonomi Islam beserta perbankan syariah di dalamnya. Pandangan pertama, dari kalangan pendukung bank syariah seperti Syafi’i Antonio, Adiwarman Karim, dan Zaim Saidi, mengklaim bahwa ekonomi syariah merupakan sebuah sistem ekonomi alternatif terhadap sistem ekonomi kapitalis.</w:t>
      </w:r>
      <w:r w:rsidR="001B0638">
        <w:rPr>
          <w:rFonts w:ascii="Times New Roman" w:hAnsi="Times New Roman"/>
        </w:rPr>
        <w:t xml:space="preserve"> Pandangan lainnya, yang berseberangan diwakili oleh Ade Sukma dan Zaim Uchrowi, menyatakan bahwa apa yang disebut ekonomi Islam sebagaimana dicontohkan oleh sektor keuangan syariah hanyalah salah satu varian dari sistem ekonomi kapitalis yang konvensional. Yang membedakan di antara keduanya adalah bahwa ekonomi Islam didasarkan pada hukum syariah. Hingga kini kesimpulan dua pengamat terakhir </w:t>
      </w:r>
      <w:r w:rsidR="005C5059">
        <w:rPr>
          <w:rFonts w:ascii="Times New Roman" w:hAnsi="Times New Roman"/>
        </w:rPr>
        <w:t xml:space="preserve">ini </w:t>
      </w:r>
      <w:r w:rsidR="001B0638">
        <w:rPr>
          <w:rFonts w:ascii="Times New Roman" w:hAnsi="Times New Roman"/>
        </w:rPr>
        <w:t>belum mendapat bantahan signifikan dalam perspektif teori ekonomi. Dalam teori ekonomi kapitalisme merupakan sistem ekonomi yang bertolak dari kapital atau modal finansial dan bertujuan untuk mengakumulasi kapital</w:t>
      </w:r>
      <w:r w:rsidR="003B4D00">
        <w:rPr>
          <w:rFonts w:ascii="Times New Roman" w:hAnsi="Times New Roman"/>
        </w:rPr>
        <w:t>. Oleh karena itu kelebihan dan sekaligus kelemahan kapitalisme terletak pada kecanggihannya merekayasa penghimpunan dan pemutaran modal sehingga menghasilkan modal yang lebih besar.</w:t>
      </w:r>
      <w:r w:rsidR="003B4D00">
        <w:rPr>
          <w:rStyle w:val="FootnoteReference"/>
          <w:rFonts w:ascii="Times New Roman" w:hAnsi="Times New Roman"/>
        </w:rPr>
        <w:footnoteReference w:id="21"/>
      </w:r>
    </w:p>
    <w:p w:rsidR="00DA5889" w:rsidRDefault="00DA5889" w:rsidP="00CE6275">
      <w:pPr>
        <w:pStyle w:val="ListParagraph"/>
        <w:spacing w:line="360" w:lineRule="auto"/>
        <w:ind w:left="0" w:firstLine="709"/>
        <w:contextualSpacing/>
        <w:jc w:val="both"/>
        <w:rPr>
          <w:rFonts w:ascii="Times New Roman" w:hAnsi="Times New Roman"/>
        </w:rPr>
      </w:pPr>
      <w:r>
        <w:rPr>
          <w:rFonts w:ascii="Times New Roman" w:hAnsi="Times New Roman"/>
        </w:rPr>
        <w:lastRenderedPageBreak/>
        <w:t xml:space="preserve">Dengan demikian problem yang dihadapi perbankan syariah sebenarnya tidak hanya yang bersifat teknis pengembangan produk, tetapi juga bersifat fundamental </w:t>
      </w:r>
      <w:r w:rsidR="00CE6275">
        <w:rPr>
          <w:rFonts w:ascii="Times New Roman" w:hAnsi="Times New Roman"/>
        </w:rPr>
        <w:t>berkenaan dengan sistemnya yang merupakan subsistem kapitalisme. Oleh karena itu perlu dilakukan dekonstruksi terhadap paradigma yang melandasi pengembangan produk bank syariah untuk kemudian melakukan rekonstruksi paradigma baru yang lebih rasional, realistis, dan fleksibel tetapi tetap sesuai syariah.</w:t>
      </w:r>
    </w:p>
    <w:p w:rsidR="00400D36" w:rsidRDefault="00400D36" w:rsidP="00AF6CEB">
      <w:pPr>
        <w:pStyle w:val="ListParagraph"/>
        <w:spacing w:line="360" w:lineRule="auto"/>
        <w:ind w:left="0" w:firstLine="709"/>
        <w:contextualSpacing/>
        <w:jc w:val="both"/>
        <w:rPr>
          <w:rFonts w:ascii="Times New Roman" w:hAnsi="Times New Roman"/>
        </w:rPr>
      </w:pPr>
      <w:r>
        <w:rPr>
          <w:rFonts w:ascii="Times New Roman" w:hAnsi="Times New Roman"/>
        </w:rPr>
        <w:t xml:space="preserve">Dari banyak karya yang telah ditunjukkan di atas, kendati semuanya mengkritisi bank syariah dalam berbagai sudut pandangnya masing-masing, namun upaya untuk </w:t>
      </w:r>
      <w:r w:rsidR="00AF6CEB">
        <w:rPr>
          <w:rFonts w:ascii="Times New Roman" w:hAnsi="Times New Roman"/>
        </w:rPr>
        <w:t xml:space="preserve">mengkaji legitimasi </w:t>
      </w:r>
      <w:r>
        <w:rPr>
          <w:rFonts w:ascii="Times New Roman" w:hAnsi="Times New Roman"/>
        </w:rPr>
        <w:t xml:space="preserve">paradigma pengembangan produk belum tampak, apalagi </w:t>
      </w:r>
      <w:r w:rsidR="00CE6275">
        <w:rPr>
          <w:rFonts w:ascii="Times New Roman" w:hAnsi="Times New Roman"/>
        </w:rPr>
        <w:t>t</w:t>
      </w:r>
      <w:r>
        <w:rPr>
          <w:rFonts w:ascii="Times New Roman" w:hAnsi="Times New Roman"/>
        </w:rPr>
        <w:t>awaran paradigma barunya.</w:t>
      </w:r>
      <w:r w:rsidR="00CE6275">
        <w:rPr>
          <w:rFonts w:ascii="Times New Roman" w:hAnsi="Times New Roman"/>
        </w:rPr>
        <w:t xml:space="preserve"> Kebanyakan karya tersebut hanya sampai mengkritisi beberapa aspek dari perbankan syar</w:t>
      </w:r>
      <w:r w:rsidR="00D80178">
        <w:rPr>
          <w:rFonts w:ascii="Times New Roman" w:hAnsi="Times New Roman"/>
        </w:rPr>
        <w:t>i</w:t>
      </w:r>
      <w:r w:rsidR="00CE6275">
        <w:rPr>
          <w:rFonts w:ascii="Times New Roman" w:hAnsi="Times New Roman"/>
        </w:rPr>
        <w:t>ah</w:t>
      </w:r>
      <w:r w:rsidR="00D80178">
        <w:rPr>
          <w:rFonts w:ascii="Times New Roman" w:hAnsi="Times New Roman"/>
        </w:rPr>
        <w:t>, dekonstruksi terhadap paradigma pengembangan produk berbasis akad muamalah fiqhiyyah beserta tawaran paradigma baru yang lebih rasional, realistis, fleksibel yang tetap sesuai syariah tidak tampak pada karya-karya tersebut.</w:t>
      </w:r>
    </w:p>
    <w:p w:rsidR="00C70691" w:rsidRPr="00D020AA" w:rsidRDefault="00C70691" w:rsidP="00C70691">
      <w:pPr>
        <w:pStyle w:val="ListParagraph"/>
        <w:spacing w:line="360" w:lineRule="auto"/>
        <w:ind w:left="709"/>
        <w:contextualSpacing/>
        <w:rPr>
          <w:rFonts w:ascii="Times New Roman" w:hAnsi="Times New Roman"/>
        </w:rPr>
      </w:pPr>
    </w:p>
    <w:p w:rsidR="00125E1A" w:rsidRDefault="00125E1A" w:rsidP="00C70691">
      <w:pPr>
        <w:pStyle w:val="ListParagraph"/>
        <w:numPr>
          <w:ilvl w:val="0"/>
          <w:numId w:val="1"/>
        </w:numPr>
        <w:spacing w:line="360" w:lineRule="auto"/>
        <w:ind w:left="426" w:hanging="426"/>
        <w:contextualSpacing/>
        <w:rPr>
          <w:rFonts w:ascii="Times New Roman" w:hAnsi="Times New Roman"/>
          <w:b/>
          <w:bCs/>
        </w:rPr>
      </w:pPr>
      <w:r w:rsidRPr="00125E1A">
        <w:rPr>
          <w:rFonts w:ascii="Times New Roman" w:hAnsi="Times New Roman"/>
          <w:b/>
          <w:bCs/>
        </w:rPr>
        <w:t>Kerangka Teori</w:t>
      </w:r>
    </w:p>
    <w:p w:rsidR="00932DF4" w:rsidRDefault="00701397" w:rsidP="00730004">
      <w:pPr>
        <w:spacing w:line="360" w:lineRule="auto"/>
        <w:ind w:firstLine="709"/>
        <w:contextualSpacing/>
        <w:jc w:val="both"/>
        <w:rPr>
          <w:rFonts w:ascii="Times New Roman" w:hAnsi="Times New Roman"/>
        </w:rPr>
      </w:pPr>
      <w:r w:rsidRPr="00701397">
        <w:rPr>
          <w:rFonts w:ascii="Times New Roman" w:hAnsi="Times New Roman"/>
        </w:rPr>
        <w:t xml:space="preserve">Dekonstruksi adalah sebuah metode pembacaan </w:t>
      </w:r>
      <w:hyperlink r:id="rId9" w:tooltip="Teks" w:history="1">
        <w:r w:rsidRPr="00701397">
          <w:rPr>
            <w:rStyle w:val="Hyperlink"/>
            <w:rFonts w:ascii="Times New Roman" w:hAnsi="Times New Roman"/>
            <w:color w:val="auto"/>
            <w:u w:val="none"/>
          </w:rPr>
          <w:t>teks</w:t>
        </w:r>
      </w:hyperlink>
      <w:r w:rsidRPr="00701397">
        <w:rPr>
          <w:rFonts w:ascii="Times New Roman" w:hAnsi="Times New Roman"/>
        </w:rPr>
        <w:t xml:space="preserve">. Dengan dekonstruksi ditunjukkan bahwa dalam setiap </w:t>
      </w:r>
      <w:hyperlink r:id="rId10" w:tooltip="Teks" w:history="1">
        <w:r w:rsidRPr="00701397">
          <w:rPr>
            <w:rStyle w:val="Hyperlink"/>
            <w:rFonts w:ascii="Times New Roman" w:hAnsi="Times New Roman"/>
            <w:color w:val="auto"/>
            <w:u w:val="none"/>
          </w:rPr>
          <w:t>teks</w:t>
        </w:r>
      </w:hyperlink>
      <w:r w:rsidRPr="00701397">
        <w:rPr>
          <w:rFonts w:ascii="Times New Roman" w:hAnsi="Times New Roman"/>
        </w:rPr>
        <w:t xml:space="preserve"> selalu hadir anggapan-anggapan yang dianggap absolut. Padahal, setiap anggapan selalu kontekstual: anggapan selalu hadir sebagai konstruksi sosial yang menyejarah. </w:t>
      </w:r>
      <w:r>
        <w:rPr>
          <w:rFonts w:ascii="Times New Roman" w:hAnsi="Times New Roman"/>
        </w:rPr>
        <w:t>Artinya</w:t>
      </w:r>
      <w:r w:rsidRPr="00701397">
        <w:rPr>
          <w:rFonts w:ascii="Times New Roman" w:hAnsi="Times New Roman"/>
        </w:rPr>
        <w:t>, anggapan-anggapan tersebut tidak mengacu kepada makna final. Anggapan-anggapan tersebut hadir sebagai jejak (</w:t>
      </w:r>
      <w:hyperlink r:id="rId11" w:tooltip="Trace (halaman belum tersedia)" w:history="1">
        <w:r w:rsidRPr="00701397">
          <w:rPr>
            <w:rStyle w:val="Hyperlink"/>
            <w:rFonts w:ascii="Times New Roman" w:hAnsi="Times New Roman"/>
            <w:i/>
            <w:iCs/>
            <w:color w:val="auto"/>
            <w:u w:val="none"/>
          </w:rPr>
          <w:t>trace</w:t>
        </w:r>
      </w:hyperlink>
      <w:r w:rsidRPr="00701397">
        <w:rPr>
          <w:rFonts w:ascii="Times New Roman" w:hAnsi="Times New Roman"/>
        </w:rPr>
        <w:t xml:space="preserve">) yang bisa dirunut pembentukannya dalam </w:t>
      </w:r>
      <w:hyperlink r:id="rId12" w:tooltip="Sejarah" w:history="1">
        <w:r w:rsidRPr="00701397">
          <w:rPr>
            <w:rStyle w:val="Hyperlink"/>
            <w:rFonts w:ascii="Times New Roman" w:hAnsi="Times New Roman"/>
            <w:color w:val="auto"/>
            <w:u w:val="none"/>
          </w:rPr>
          <w:t>sejarah</w:t>
        </w:r>
      </w:hyperlink>
      <w:r w:rsidRPr="00701397">
        <w:rPr>
          <w:rFonts w:ascii="Times New Roman" w:hAnsi="Times New Roman"/>
        </w:rPr>
        <w:t xml:space="preserve">. </w:t>
      </w:r>
      <w:r>
        <w:rPr>
          <w:rFonts w:ascii="Times New Roman" w:hAnsi="Times New Roman"/>
        </w:rPr>
        <w:t xml:space="preserve">Teori dekonstruksi dapat dirujukkan pada </w:t>
      </w:r>
      <w:hyperlink r:id="rId13" w:tooltip="Jacques Derrida" w:history="1">
        <w:r w:rsidRPr="00701397">
          <w:rPr>
            <w:rStyle w:val="Hyperlink"/>
            <w:rFonts w:ascii="Times New Roman" w:hAnsi="Times New Roman"/>
            <w:color w:val="auto"/>
            <w:u w:val="none"/>
          </w:rPr>
          <w:t>Jacques Derrida</w:t>
        </w:r>
      </w:hyperlink>
      <w:r w:rsidR="00BF5085">
        <w:rPr>
          <w:rFonts w:ascii="Times New Roman" w:hAnsi="Times New Roman"/>
        </w:rPr>
        <w:t xml:space="preserve"> (1930-2004), filosuf Perancis </w:t>
      </w:r>
      <w:r w:rsidR="00FB2DC1">
        <w:rPr>
          <w:rFonts w:ascii="Times New Roman" w:hAnsi="Times New Roman"/>
        </w:rPr>
        <w:t xml:space="preserve">yang beraliran dekonstruksi </w:t>
      </w:r>
      <w:r w:rsidR="00BF5085">
        <w:rPr>
          <w:rFonts w:ascii="Times New Roman" w:hAnsi="Times New Roman"/>
        </w:rPr>
        <w:t>kelahiran Aljazair</w:t>
      </w:r>
      <w:r>
        <w:rPr>
          <w:rFonts w:ascii="Times New Roman" w:hAnsi="Times New Roman"/>
        </w:rPr>
        <w:t xml:space="preserve">. Ia </w:t>
      </w:r>
      <w:r w:rsidRPr="00701397">
        <w:rPr>
          <w:rFonts w:ascii="Times New Roman" w:hAnsi="Times New Roman"/>
        </w:rPr>
        <w:t xml:space="preserve">menunjukkan bahwa kita selalu cenderung untuk melepaskan </w:t>
      </w:r>
      <w:hyperlink r:id="rId14" w:tooltip="Teks" w:history="1">
        <w:r w:rsidRPr="00701397">
          <w:rPr>
            <w:rStyle w:val="Hyperlink"/>
            <w:rFonts w:ascii="Times New Roman" w:hAnsi="Times New Roman"/>
            <w:color w:val="auto"/>
            <w:u w:val="none"/>
          </w:rPr>
          <w:t>teks</w:t>
        </w:r>
      </w:hyperlink>
      <w:r w:rsidRPr="00701397">
        <w:rPr>
          <w:rFonts w:ascii="Times New Roman" w:hAnsi="Times New Roman"/>
        </w:rPr>
        <w:t xml:space="preserve"> dari konteksnya. Satu term tertentu kita lepaskan dari konteks (dari jejaknya) dan hadir sebagai makna final. Inilah yang </w:t>
      </w:r>
      <w:r>
        <w:rPr>
          <w:rFonts w:ascii="Times New Roman" w:hAnsi="Times New Roman"/>
        </w:rPr>
        <w:t xml:space="preserve">ia </w:t>
      </w:r>
      <w:r w:rsidRPr="00701397">
        <w:rPr>
          <w:rFonts w:ascii="Times New Roman" w:hAnsi="Times New Roman"/>
        </w:rPr>
        <w:t xml:space="preserve">sebut sebagai </w:t>
      </w:r>
      <w:hyperlink r:id="rId15" w:tooltip="Logosentrisme (halaman belum tersedia)" w:history="1">
        <w:r w:rsidRPr="005C5059">
          <w:rPr>
            <w:rStyle w:val="Hyperlink"/>
            <w:rFonts w:ascii="Times New Roman" w:hAnsi="Times New Roman"/>
            <w:i/>
            <w:iCs/>
            <w:color w:val="auto"/>
            <w:u w:val="none"/>
          </w:rPr>
          <w:t>logosentrisme</w:t>
        </w:r>
      </w:hyperlink>
      <w:r>
        <w:rPr>
          <w:rFonts w:ascii="Times New Roman" w:hAnsi="Times New Roman"/>
        </w:rPr>
        <w:t>,</w:t>
      </w:r>
      <w:r w:rsidRPr="00701397">
        <w:rPr>
          <w:rFonts w:ascii="Times New Roman" w:hAnsi="Times New Roman"/>
        </w:rPr>
        <w:t xml:space="preserve"> </w:t>
      </w:r>
      <w:r>
        <w:rPr>
          <w:rFonts w:ascii="Times New Roman" w:hAnsi="Times New Roman"/>
        </w:rPr>
        <w:t xml:space="preserve">yakni </w:t>
      </w:r>
      <w:r w:rsidRPr="00701397">
        <w:rPr>
          <w:rFonts w:ascii="Times New Roman" w:hAnsi="Times New Roman"/>
        </w:rPr>
        <w:t xml:space="preserve">kecenderungan untuk mengacu kepada suatu </w:t>
      </w:r>
      <w:hyperlink r:id="rId16" w:tooltip="Metafisika" w:history="1">
        <w:r w:rsidRPr="00701397">
          <w:rPr>
            <w:rStyle w:val="Hyperlink"/>
            <w:rFonts w:ascii="Times New Roman" w:hAnsi="Times New Roman"/>
            <w:color w:val="auto"/>
            <w:u w:val="none"/>
          </w:rPr>
          <w:t>metafisika</w:t>
        </w:r>
      </w:hyperlink>
      <w:r w:rsidRPr="00701397">
        <w:rPr>
          <w:rFonts w:ascii="Times New Roman" w:hAnsi="Times New Roman"/>
        </w:rPr>
        <w:t xml:space="preserve"> tertentu, suatu kehadiran objek absolut tertentu. Dengan metode dekonstruksi, </w:t>
      </w:r>
      <w:r w:rsidR="00BF5085">
        <w:rPr>
          <w:rFonts w:ascii="Times New Roman" w:hAnsi="Times New Roman"/>
        </w:rPr>
        <w:t xml:space="preserve">ia </w:t>
      </w:r>
      <w:r w:rsidRPr="00701397">
        <w:rPr>
          <w:rFonts w:ascii="Times New Roman" w:hAnsi="Times New Roman"/>
        </w:rPr>
        <w:t xml:space="preserve">ingin membuat kita kritis terhadap </w:t>
      </w:r>
      <w:hyperlink r:id="rId17" w:tooltip="Teks" w:history="1">
        <w:r w:rsidRPr="00701397">
          <w:rPr>
            <w:rStyle w:val="Hyperlink"/>
            <w:rFonts w:ascii="Times New Roman" w:hAnsi="Times New Roman"/>
            <w:color w:val="auto"/>
            <w:u w:val="none"/>
          </w:rPr>
          <w:t>teks</w:t>
        </w:r>
      </w:hyperlink>
      <w:r w:rsidRPr="00701397">
        <w:rPr>
          <w:rFonts w:ascii="Times New Roman" w:hAnsi="Times New Roman"/>
        </w:rPr>
        <w:t>.</w:t>
      </w:r>
      <w:r w:rsidR="00BF5085">
        <w:rPr>
          <w:rStyle w:val="FootnoteReference"/>
          <w:rFonts w:ascii="Times New Roman" w:hAnsi="Times New Roman"/>
        </w:rPr>
        <w:footnoteReference w:id="22"/>
      </w:r>
      <w:r w:rsidR="00932DF4">
        <w:rPr>
          <w:rFonts w:ascii="Times New Roman" w:hAnsi="Times New Roman"/>
        </w:rPr>
        <w:t xml:space="preserve"> </w:t>
      </w:r>
    </w:p>
    <w:p w:rsidR="00932DF4" w:rsidRPr="00730004" w:rsidRDefault="00932DF4" w:rsidP="00730004">
      <w:pPr>
        <w:spacing w:line="360" w:lineRule="auto"/>
        <w:ind w:firstLine="709"/>
        <w:contextualSpacing/>
        <w:jc w:val="both"/>
        <w:rPr>
          <w:rFonts w:asciiTheme="majorBidi" w:hAnsiTheme="majorBidi" w:cstheme="majorBidi"/>
        </w:rPr>
      </w:pPr>
      <w:r w:rsidRPr="00730004">
        <w:rPr>
          <w:rFonts w:asciiTheme="majorBidi" w:hAnsiTheme="majorBidi" w:cstheme="majorBidi"/>
        </w:rPr>
        <w:t xml:space="preserve">Dekonstruksi berasal dari kata </w:t>
      </w:r>
      <w:r w:rsidRPr="00730004">
        <w:rPr>
          <w:rFonts w:asciiTheme="majorBidi" w:hAnsiTheme="majorBidi" w:cstheme="majorBidi"/>
          <w:i/>
          <w:iCs/>
        </w:rPr>
        <w:t>de</w:t>
      </w:r>
      <w:r w:rsidRPr="00730004">
        <w:rPr>
          <w:rFonts w:asciiTheme="majorBidi" w:hAnsiTheme="majorBidi" w:cstheme="majorBidi"/>
        </w:rPr>
        <w:t xml:space="preserve"> + </w:t>
      </w:r>
      <w:r w:rsidRPr="00730004">
        <w:rPr>
          <w:rFonts w:asciiTheme="majorBidi" w:hAnsiTheme="majorBidi" w:cstheme="majorBidi"/>
          <w:i/>
          <w:iCs/>
        </w:rPr>
        <w:t>constructio</w:t>
      </w:r>
      <w:r w:rsidRPr="00730004">
        <w:rPr>
          <w:rFonts w:asciiTheme="majorBidi" w:hAnsiTheme="majorBidi" w:cstheme="majorBidi"/>
        </w:rPr>
        <w:t xml:space="preserve"> (latin). Pada umumnya  </w:t>
      </w:r>
      <w:r w:rsidRPr="00730004">
        <w:rPr>
          <w:rFonts w:asciiTheme="majorBidi" w:hAnsiTheme="majorBidi" w:cstheme="majorBidi"/>
          <w:i/>
          <w:iCs/>
        </w:rPr>
        <w:t>de</w:t>
      </w:r>
      <w:r w:rsidRPr="00730004">
        <w:rPr>
          <w:rFonts w:asciiTheme="majorBidi" w:hAnsiTheme="majorBidi" w:cstheme="majorBidi"/>
        </w:rPr>
        <w:t xml:space="preserve"> berarti ke bawah, pengurangan, atau terlepas dari. Sedangkan kata </w:t>
      </w:r>
      <w:r w:rsidRPr="00730004">
        <w:rPr>
          <w:rFonts w:asciiTheme="majorBidi" w:hAnsiTheme="majorBidi" w:cstheme="majorBidi"/>
          <w:i/>
          <w:iCs/>
        </w:rPr>
        <w:t>Constructio</w:t>
      </w:r>
      <w:r w:rsidRPr="00730004">
        <w:rPr>
          <w:rFonts w:asciiTheme="majorBidi" w:hAnsiTheme="majorBidi" w:cstheme="majorBidi"/>
        </w:rPr>
        <w:t xml:space="preserve"> berarti bentuk, susunan, hal menyusun, hal mengatur. Dekonstruksi dapat diartikan sebagai pengurangan atau penurunan intensitas bentuk yang sudah tersusun, sebagai bentuk yang sudah baku. Dekonstruksi merupakan gabungan antara hakikat destruktif dan konstruktif. Dekonstruksi tidak semata-mata ditujukan terhadap tulisan, tetapi semua pernyataan kultural, sebab seluruh </w:t>
      </w:r>
      <w:r w:rsidR="00730004" w:rsidRPr="00730004">
        <w:rPr>
          <w:rFonts w:asciiTheme="majorBidi" w:hAnsiTheme="majorBidi" w:cstheme="majorBidi"/>
        </w:rPr>
        <w:t xml:space="preserve">pernyataan kultural tersebut pada </w:t>
      </w:r>
      <w:r w:rsidRPr="00730004">
        <w:rPr>
          <w:rFonts w:asciiTheme="majorBidi" w:hAnsiTheme="majorBidi" w:cstheme="majorBidi"/>
        </w:rPr>
        <w:t>hakekatnya adalah teks yang dengan sendirinya sudah mengandung nilai-nilai, prasyarat, ideologi, kebenaran, dan tujuan-tujuan tertentu.</w:t>
      </w:r>
      <w:r w:rsidR="00730004" w:rsidRPr="00730004">
        <w:rPr>
          <w:rStyle w:val="FootnoteReference"/>
          <w:rFonts w:asciiTheme="majorBidi" w:hAnsiTheme="majorBidi" w:cstheme="majorBidi"/>
        </w:rPr>
        <w:footnoteReference w:id="23"/>
      </w:r>
      <w:r w:rsidRPr="00730004">
        <w:rPr>
          <w:rFonts w:asciiTheme="majorBidi" w:hAnsiTheme="majorBidi" w:cstheme="majorBidi"/>
        </w:rPr>
        <w:t xml:space="preserve"> </w:t>
      </w:r>
    </w:p>
    <w:p w:rsidR="00932DF4" w:rsidRPr="00730004" w:rsidRDefault="00932DF4" w:rsidP="00730004">
      <w:pPr>
        <w:spacing w:line="360" w:lineRule="auto"/>
        <w:ind w:firstLine="709"/>
        <w:contextualSpacing/>
        <w:jc w:val="both"/>
        <w:rPr>
          <w:rFonts w:ascii="Times New Roman" w:hAnsi="Times New Roman"/>
          <w:lang w:eastAsia="id-ID"/>
        </w:rPr>
      </w:pPr>
      <w:r w:rsidRPr="00730004">
        <w:rPr>
          <w:rFonts w:ascii="Times New Roman" w:hAnsi="Times New Roman"/>
          <w:lang w:eastAsia="id-ID"/>
        </w:rPr>
        <w:t>Prinsip- prinsip yang terdapat dalam teori dekonstruksi adalah:</w:t>
      </w:r>
      <w:r w:rsidR="00777D29">
        <w:rPr>
          <w:rStyle w:val="FootnoteReference"/>
          <w:rFonts w:ascii="Times New Roman" w:hAnsi="Times New Roman"/>
          <w:lang w:eastAsia="id-ID"/>
        </w:rPr>
        <w:footnoteReference w:id="24"/>
      </w:r>
    </w:p>
    <w:p w:rsidR="00932DF4" w:rsidRPr="00730004" w:rsidRDefault="00932DF4" w:rsidP="00730004">
      <w:pPr>
        <w:pStyle w:val="ListParagraph"/>
        <w:numPr>
          <w:ilvl w:val="0"/>
          <w:numId w:val="9"/>
        </w:numPr>
        <w:spacing w:line="360" w:lineRule="auto"/>
        <w:ind w:left="567" w:hanging="283"/>
        <w:contextualSpacing/>
        <w:jc w:val="both"/>
        <w:rPr>
          <w:rFonts w:ascii="Times New Roman" w:hAnsi="Times New Roman"/>
          <w:lang w:eastAsia="id-ID"/>
        </w:rPr>
      </w:pPr>
      <w:r w:rsidRPr="00730004">
        <w:rPr>
          <w:rFonts w:ascii="Times New Roman" w:hAnsi="Times New Roman"/>
          <w:lang w:eastAsia="id-ID"/>
        </w:rPr>
        <w:t xml:space="preserve">Melacak unsur-unsur </w:t>
      </w:r>
      <w:r w:rsidRPr="00BA520A">
        <w:rPr>
          <w:rFonts w:ascii="Times New Roman" w:hAnsi="Times New Roman"/>
          <w:i/>
          <w:iCs/>
          <w:lang w:eastAsia="id-ID"/>
        </w:rPr>
        <w:t>aporia</w:t>
      </w:r>
      <w:r w:rsidR="00BA520A">
        <w:rPr>
          <w:rStyle w:val="FootnoteReference"/>
          <w:rFonts w:ascii="Times New Roman" w:hAnsi="Times New Roman"/>
          <w:i/>
          <w:iCs/>
          <w:lang w:eastAsia="id-ID"/>
        </w:rPr>
        <w:footnoteReference w:id="25"/>
      </w:r>
      <w:r w:rsidRPr="00730004">
        <w:rPr>
          <w:rFonts w:ascii="Times New Roman" w:hAnsi="Times New Roman"/>
          <w:lang w:eastAsia="id-ID"/>
        </w:rPr>
        <w:t xml:space="preserve"> (makna paradoks, makna kontradiktif, dan makna ironi).</w:t>
      </w:r>
    </w:p>
    <w:p w:rsidR="00932DF4" w:rsidRPr="00730004" w:rsidRDefault="00932DF4" w:rsidP="00730004">
      <w:pPr>
        <w:pStyle w:val="ListParagraph"/>
        <w:numPr>
          <w:ilvl w:val="0"/>
          <w:numId w:val="9"/>
        </w:numPr>
        <w:spacing w:line="360" w:lineRule="auto"/>
        <w:ind w:left="567" w:hanging="283"/>
        <w:contextualSpacing/>
        <w:jc w:val="both"/>
        <w:rPr>
          <w:rFonts w:ascii="Times New Roman" w:hAnsi="Times New Roman"/>
          <w:lang w:eastAsia="id-ID"/>
        </w:rPr>
      </w:pPr>
      <w:r w:rsidRPr="00730004">
        <w:rPr>
          <w:rFonts w:ascii="Times New Roman" w:hAnsi="Times New Roman"/>
          <w:lang w:eastAsia="id-ID"/>
        </w:rPr>
        <w:t>Membalik</w:t>
      </w:r>
      <w:r w:rsidR="00BA520A">
        <w:rPr>
          <w:rFonts w:ascii="Times New Roman" w:hAnsi="Times New Roman"/>
          <w:lang w:eastAsia="id-ID"/>
        </w:rPr>
        <w:t>k</w:t>
      </w:r>
      <w:r w:rsidRPr="00730004">
        <w:rPr>
          <w:rFonts w:ascii="Times New Roman" w:hAnsi="Times New Roman"/>
          <w:lang w:eastAsia="id-ID"/>
        </w:rPr>
        <w:t>an atau merubah makna-makna yang sudah dikonvensionalkan.</w:t>
      </w:r>
    </w:p>
    <w:p w:rsidR="00730004" w:rsidRDefault="00730004" w:rsidP="00730004">
      <w:pPr>
        <w:spacing w:line="360" w:lineRule="auto"/>
        <w:contextualSpacing/>
        <w:jc w:val="both"/>
        <w:rPr>
          <w:rFonts w:asciiTheme="majorBidi" w:hAnsiTheme="majorBidi" w:cstheme="majorBidi"/>
        </w:rPr>
      </w:pPr>
      <w:r w:rsidRPr="00730004">
        <w:rPr>
          <w:rFonts w:asciiTheme="majorBidi" w:hAnsiTheme="majorBidi" w:cstheme="majorBidi"/>
        </w:rPr>
        <w:t>Sedangkan tujuan metode dekonstruksi adalah menunjukkan ketidakberhasilan upaya penghadiran kebenaran absolut, dan ingin menelanjangi agenda tersembunyi yang mengandung banyak kelemahan dan ketimpamgan di balik teks-teks.</w:t>
      </w:r>
    </w:p>
    <w:p w:rsidR="00BA520A" w:rsidRPr="00932DF4" w:rsidRDefault="00BA520A" w:rsidP="00F62274">
      <w:pPr>
        <w:spacing w:line="360" w:lineRule="auto"/>
        <w:ind w:firstLine="709"/>
        <w:contextualSpacing/>
        <w:jc w:val="both"/>
        <w:rPr>
          <w:rFonts w:asciiTheme="majorBidi" w:hAnsiTheme="majorBidi" w:cstheme="majorBidi"/>
          <w:lang w:eastAsia="id-ID"/>
        </w:rPr>
      </w:pPr>
      <w:r>
        <w:rPr>
          <w:rFonts w:asciiTheme="majorBidi" w:hAnsiTheme="majorBidi" w:cstheme="majorBidi"/>
        </w:rPr>
        <w:t>Dalam konteks penelitian ini, paradigma pengembangan produk perbankan syariah yang didasarkan pada doktrin</w:t>
      </w:r>
      <w:r w:rsidR="00C2695F">
        <w:rPr>
          <w:rFonts w:asciiTheme="majorBidi" w:hAnsiTheme="majorBidi" w:cstheme="majorBidi"/>
        </w:rPr>
        <w:t xml:space="preserve"> syariah yang dianggap final dan tak terbantahkan tersebut perlu dimaknai secara kritis dan kontekstual. Artinya doktrin syariah yang berupa haramnya bunga </w:t>
      </w:r>
      <w:r w:rsidR="00712EC4">
        <w:rPr>
          <w:rFonts w:asciiTheme="majorBidi" w:hAnsiTheme="majorBidi" w:cstheme="majorBidi"/>
        </w:rPr>
        <w:t xml:space="preserve">dan </w:t>
      </w:r>
      <w:r w:rsidR="00C2695F">
        <w:rPr>
          <w:rFonts w:asciiTheme="majorBidi" w:hAnsiTheme="majorBidi" w:cstheme="majorBidi"/>
        </w:rPr>
        <w:t xml:space="preserve">keharusan </w:t>
      </w:r>
      <w:r w:rsidR="00712EC4">
        <w:rPr>
          <w:rFonts w:asciiTheme="majorBidi" w:hAnsiTheme="majorBidi" w:cstheme="majorBidi"/>
        </w:rPr>
        <w:t xml:space="preserve">berbasis akad muamalah fiqhiyyah sesungguhnya bukan doktrin final dan absolut, tetapi ajaran </w:t>
      </w:r>
      <w:r w:rsidR="00F62274">
        <w:rPr>
          <w:rFonts w:asciiTheme="majorBidi" w:hAnsiTheme="majorBidi" w:cstheme="majorBidi"/>
        </w:rPr>
        <w:t xml:space="preserve">yang formulasinya melawati konteks sosial dan sejarahnya masing-masing. Oleh karena itu memposisikan doktrin tersebut secara proporsional akan memberikan </w:t>
      </w:r>
      <w:r w:rsidR="00F62274">
        <w:rPr>
          <w:rFonts w:asciiTheme="majorBidi" w:hAnsiTheme="majorBidi" w:cstheme="majorBidi"/>
        </w:rPr>
        <w:lastRenderedPageBreak/>
        <w:t>jalan bagi upaya untuk mendekonstruksi paradigma tersebut sekaligus mengupayakan rekonstruksi par</w:t>
      </w:r>
      <w:r w:rsidR="00325549">
        <w:rPr>
          <w:rFonts w:asciiTheme="majorBidi" w:hAnsiTheme="majorBidi" w:cstheme="majorBidi"/>
        </w:rPr>
        <w:t>a</w:t>
      </w:r>
      <w:r w:rsidR="00F62274">
        <w:rPr>
          <w:rFonts w:asciiTheme="majorBidi" w:hAnsiTheme="majorBidi" w:cstheme="majorBidi"/>
        </w:rPr>
        <w:t>digma baru yang lebih rasional, realistis, dan kompetitif.</w:t>
      </w:r>
    </w:p>
    <w:p w:rsidR="00701397" w:rsidRDefault="00325549" w:rsidP="005B43C7">
      <w:pPr>
        <w:pStyle w:val="ListParagraph"/>
        <w:spacing w:line="360" w:lineRule="auto"/>
        <w:ind w:left="0" w:firstLine="709"/>
        <w:contextualSpacing/>
        <w:jc w:val="both"/>
        <w:rPr>
          <w:rFonts w:ascii="Times New Roman" w:hAnsi="Times New Roman"/>
        </w:rPr>
      </w:pPr>
      <w:r>
        <w:rPr>
          <w:rFonts w:ascii="Times New Roman" w:hAnsi="Times New Roman"/>
        </w:rPr>
        <w:t>Dalam perspektif hukum Islam konsep perbankan syariah</w:t>
      </w:r>
      <w:r w:rsidR="001B3492">
        <w:rPr>
          <w:rFonts w:ascii="Times New Roman" w:hAnsi="Times New Roman"/>
        </w:rPr>
        <w:t xml:space="preserve"> dapat dianggap sebagai hasil ijtihad, karena konsep perbankan syariah beserta produk-produknya</w:t>
      </w:r>
      <w:r w:rsidR="00DA4EE7">
        <w:rPr>
          <w:rFonts w:ascii="Times New Roman" w:hAnsi="Times New Roman"/>
        </w:rPr>
        <w:t>, dengan berbagai bentuk transformasi akad yang terjadi di dalamnya, belum dikenal pada masa Nabi. Hasil ijtihad tentu saja tidaklah mutlak (benar), tetapi bersifat nisbi/relatif, bisa benar bisa pula salah.</w:t>
      </w:r>
      <w:r w:rsidR="000B5CEC">
        <w:rPr>
          <w:rStyle w:val="FootnoteReference"/>
          <w:rFonts w:ascii="Times New Roman" w:hAnsi="Times New Roman"/>
        </w:rPr>
        <w:footnoteReference w:id="26"/>
      </w:r>
      <w:r w:rsidR="00DA4EE7">
        <w:rPr>
          <w:rFonts w:ascii="Times New Roman" w:hAnsi="Times New Roman"/>
        </w:rPr>
        <w:t xml:space="preserve"> </w:t>
      </w:r>
      <w:r w:rsidR="00765ED1">
        <w:rPr>
          <w:rFonts w:ascii="Times New Roman" w:hAnsi="Times New Roman"/>
        </w:rPr>
        <w:t xml:space="preserve">Hasil ijtihad juga tidak bisa dipaksakan kepada setiap orang untuk mengikutinya, sebagaimana fatwa hukum yang juga tidak punya kekuatan untuk </w:t>
      </w:r>
      <w:r w:rsidR="003028DD">
        <w:rPr>
          <w:rFonts w:ascii="Times New Roman" w:hAnsi="Times New Roman"/>
        </w:rPr>
        <w:t>memaksa orang mengikutin</w:t>
      </w:r>
      <w:r w:rsidR="000B5CEC">
        <w:rPr>
          <w:rFonts w:ascii="Times New Roman" w:hAnsi="Times New Roman"/>
        </w:rPr>
        <w:t>y</w:t>
      </w:r>
      <w:r w:rsidR="003028DD">
        <w:rPr>
          <w:rFonts w:ascii="Times New Roman" w:hAnsi="Times New Roman"/>
        </w:rPr>
        <w:t>a.</w:t>
      </w:r>
      <w:r w:rsidR="005D4E28">
        <w:rPr>
          <w:rStyle w:val="FootnoteReference"/>
          <w:rFonts w:ascii="Times New Roman" w:hAnsi="Times New Roman"/>
        </w:rPr>
        <w:footnoteReference w:id="27"/>
      </w:r>
      <w:r w:rsidR="003028DD">
        <w:rPr>
          <w:rFonts w:ascii="Times New Roman" w:hAnsi="Times New Roman"/>
        </w:rPr>
        <w:t xml:space="preserve"> </w:t>
      </w:r>
      <w:r w:rsidR="00DA4EE7">
        <w:rPr>
          <w:rFonts w:ascii="Times New Roman" w:hAnsi="Times New Roman"/>
        </w:rPr>
        <w:t>Di samping itu hasil ijtihad juga bisa bermacam-macam, apalagi manakala berkenaan dengan sebuah konsep baru yang dimunculkan.</w:t>
      </w:r>
      <w:r w:rsidR="00765ED1">
        <w:rPr>
          <w:rFonts w:ascii="Times New Roman" w:hAnsi="Times New Roman"/>
        </w:rPr>
        <w:t xml:space="preserve"> Oleh karena sifatnya yang relatif tersebut, maka kritik dan bahkan penolakan terhadapnya oleh sebagian cendekiawan muslim bukanlah hal yang tabu.</w:t>
      </w:r>
      <w:r w:rsidR="003028DD">
        <w:rPr>
          <w:rFonts w:ascii="Times New Roman" w:hAnsi="Times New Roman"/>
        </w:rPr>
        <w:t xml:space="preserve"> Kritik tidak bisa dihindari dan bahkan perlu selalu ada supaya b</w:t>
      </w:r>
      <w:r w:rsidR="003156CD">
        <w:rPr>
          <w:rFonts w:ascii="Times New Roman" w:hAnsi="Times New Roman"/>
        </w:rPr>
        <w:t>isa dilakukan perbaikan dan pen</w:t>
      </w:r>
      <w:r w:rsidR="003028DD">
        <w:rPr>
          <w:rFonts w:ascii="Times New Roman" w:hAnsi="Times New Roman"/>
        </w:rPr>
        <w:t>y</w:t>
      </w:r>
      <w:r w:rsidR="003156CD">
        <w:rPr>
          <w:rFonts w:ascii="Times New Roman" w:hAnsi="Times New Roman"/>
        </w:rPr>
        <w:t>e</w:t>
      </w:r>
      <w:r w:rsidR="003028DD">
        <w:rPr>
          <w:rFonts w:ascii="Times New Roman" w:hAnsi="Times New Roman"/>
        </w:rPr>
        <w:t>mpurnaan terus menerus.</w:t>
      </w:r>
    </w:p>
    <w:p w:rsidR="00384A51" w:rsidRDefault="003028DD" w:rsidP="00841939">
      <w:pPr>
        <w:pStyle w:val="ListParagraph"/>
        <w:spacing w:line="360" w:lineRule="auto"/>
        <w:ind w:left="0" w:firstLine="709"/>
        <w:contextualSpacing/>
        <w:jc w:val="both"/>
        <w:rPr>
          <w:rFonts w:ascii="Times New Roman" w:hAnsi="Times New Roman"/>
        </w:rPr>
      </w:pPr>
      <w:r>
        <w:rPr>
          <w:rFonts w:ascii="Times New Roman" w:hAnsi="Times New Roman"/>
        </w:rPr>
        <w:t>Demikian pula paradigma yang mendasari perbankan syariah, termasuk di dalamnya adalah aspek pengembangan produknya, juga bersifat relatif, tidak mutlak.</w:t>
      </w:r>
      <w:r w:rsidR="00267EDF">
        <w:rPr>
          <w:rFonts w:ascii="Times New Roman" w:hAnsi="Times New Roman"/>
        </w:rPr>
        <w:t xml:space="preserve"> Paradigma pengembangan produk tersebut lebih didasarkan pada asumsi kebaikan atau bahkan lebih baik di dalam mengambil sebuah doktrin keagamaan, kendati doktrin yang dipegangi tersebut pada dasarnya juga bersifat nisbi.</w:t>
      </w:r>
      <w:r w:rsidR="003A4B3A">
        <w:rPr>
          <w:rFonts w:ascii="Times New Roman" w:hAnsi="Times New Roman"/>
        </w:rPr>
        <w:t xml:space="preserve"> </w:t>
      </w:r>
      <w:r w:rsidR="00384A51">
        <w:rPr>
          <w:rFonts w:ascii="Times New Roman" w:hAnsi="Times New Roman"/>
        </w:rPr>
        <w:t>Dalam konteks ibadah, sesuatu yang dianggap lebih baik</w:t>
      </w:r>
      <w:r w:rsidR="00BE2350">
        <w:rPr>
          <w:rFonts w:ascii="Times New Roman" w:hAnsi="Times New Roman"/>
        </w:rPr>
        <w:t xml:space="preserve"> </w:t>
      </w:r>
      <w:r w:rsidR="008026EE">
        <w:rPr>
          <w:rFonts w:ascii="Times New Roman" w:hAnsi="Times New Roman"/>
        </w:rPr>
        <w:t xml:space="preserve">tersebut </w:t>
      </w:r>
      <w:r w:rsidR="00BE2350">
        <w:rPr>
          <w:rFonts w:ascii="Times New Roman" w:hAnsi="Times New Roman"/>
        </w:rPr>
        <w:t xml:space="preserve">dinamakan dengan </w:t>
      </w:r>
      <w:r w:rsidR="00BE2350" w:rsidRPr="00226A6E">
        <w:rPr>
          <w:rFonts w:ascii="Times New Roman" w:hAnsi="Times New Roman"/>
          <w:i/>
          <w:iCs/>
        </w:rPr>
        <w:t>fadail al-a’mal</w:t>
      </w:r>
      <w:r w:rsidR="00BE2350">
        <w:rPr>
          <w:rFonts w:ascii="Times New Roman" w:hAnsi="Times New Roman"/>
        </w:rPr>
        <w:t xml:space="preserve">. </w:t>
      </w:r>
      <w:r w:rsidR="003A4B3A">
        <w:rPr>
          <w:rFonts w:ascii="Times New Roman" w:hAnsi="Times New Roman"/>
        </w:rPr>
        <w:t xml:space="preserve">Doktrin haramnya bunga, misalnya, sifatnya tidak mutlak (benar), </w:t>
      </w:r>
      <w:r w:rsidR="003A4B3A">
        <w:rPr>
          <w:rFonts w:ascii="Times New Roman" w:hAnsi="Times New Roman"/>
        </w:rPr>
        <w:lastRenderedPageBreak/>
        <w:t xml:space="preserve">karena ia merupakan hasil ijtihad yang besifat </w:t>
      </w:r>
      <w:r w:rsidR="003A4B3A" w:rsidRPr="00226A6E">
        <w:rPr>
          <w:rFonts w:ascii="Times New Roman" w:hAnsi="Times New Roman"/>
          <w:i/>
          <w:iCs/>
        </w:rPr>
        <w:t>muhtamal</w:t>
      </w:r>
      <w:r w:rsidR="003A4B3A">
        <w:rPr>
          <w:rFonts w:ascii="Times New Roman" w:hAnsi="Times New Roman"/>
        </w:rPr>
        <w:t xml:space="preserve"> (relatif), boleh jadi benar dan boleh jadi sebaliknya.</w:t>
      </w:r>
      <w:r w:rsidR="005B43C7">
        <w:rPr>
          <w:rStyle w:val="FootnoteReference"/>
          <w:rFonts w:ascii="Times New Roman" w:hAnsi="Times New Roman"/>
        </w:rPr>
        <w:footnoteReference w:id="28"/>
      </w:r>
      <w:r w:rsidR="003A4B3A">
        <w:rPr>
          <w:rFonts w:ascii="Times New Roman" w:hAnsi="Times New Roman"/>
        </w:rPr>
        <w:t xml:space="preserve"> </w:t>
      </w:r>
    </w:p>
    <w:p w:rsidR="003028DD" w:rsidRDefault="003A4B3A" w:rsidP="00630358">
      <w:pPr>
        <w:pStyle w:val="ListParagraph"/>
        <w:spacing w:line="360" w:lineRule="auto"/>
        <w:ind w:left="0" w:firstLine="709"/>
        <w:contextualSpacing/>
        <w:jc w:val="both"/>
        <w:rPr>
          <w:rFonts w:ascii="Times New Roman" w:hAnsi="Times New Roman"/>
        </w:rPr>
      </w:pPr>
      <w:r>
        <w:rPr>
          <w:rFonts w:ascii="Times New Roman" w:hAnsi="Times New Roman"/>
        </w:rPr>
        <w:t xml:space="preserve">Demikian pula akad-akad muamalah fiqhiyyah, lebih nyata kenisbiannya, karena akad-akad muamalah sebagaimana diformulasikan oleh para fukaha dalam kitab-kitab fikih tersebut </w:t>
      </w:r>
      <w:r w:rsidR="00F4763F">
        <w:rPr>
          <w:rFonts w:ascii="Times New Roman" w:hAnsi="Times New Roman"/>
        </w:rPr>
        <w:t>sebagi</w:t>
      </w:r>
      <w:r w:rsidR="00630358">
        <w:rPr>
          <w:rFonts w:ascii="Times New Roman" w:hAnsi="Times New Roman"/>
        </w:rPr>
        <w:t>a</w:t>
      </w:r>
      <w:r w:rsidR="00F4763F">
        <w:rPr>
          <w:rFonts w:ascii="Times New Roman" w:hAnsi="Times New Roman"/>
        </w:rPr>
        <w:t>n besarnya merupakan adopsi terhadap praktik masyarakat Arab, baik sebelum Islam datang ataupun sesudahnya.</w:t>
      </w:r>
      <w:r w:rsidR="00226A6E">
        <w:rPr>
          <w:rStyle w:val="FootnoteReference"/>
          <w:rFonts w:ascii="Times New Roman" w:hAnsi="Times New Roman"/>
        </w:rPr>
        <w:footnoteReference w:id="29"/>
      </w:r>
      <w:r w:rsidR="00F4763F">
        <w:rPr>
          <w:rFonts w:ascii="Times New Roman" w:hAnsi="Times New Roman"/>
        </w:rPr>
        <w:t xml:space="preserve"> Artinya sejak semula akad-akad tersebut beserta jenis-jenisnya tidak diatur secara khusus oleh </w:t>
      </w:r>
      <w:r w:rsidR="00F4763F" w:rsidRPr="00AF082A">
        <w:rPr>
          <w:rFonts w:ascii="Times New Roman" w:hAnsi="Times New Roman"/>
          <w:i/>
          <w:iCs/>
        </w:rPr>
        <w:t>Syari’</w:t>
      </w:r>
      <w:r w:rsidR="00F4763F">
        <w:rPr>
          <w:rFonts w:ascii="Times New Roman" w:hAnsi="Times New Roman"/>
        </w:rPr>
        <w:t xml:space="preserve">, karena memang </w:t>
      </w:r>
      <w:r w:rsidR="00841939">
        <w:rPr>
          <w:rFonts w:ascii="Times New Roman" w:hAnsi="Times New Roman"/>
        </w:rPr>
        <w:t xml:space="preserve">bukan itu tujuan utama diturunkannya syariat Islam. Tentu berbeda kekuatan perintah (anjuran) antara sesuatu yang memang sengaja diajarkan dengan sesuatu yang sekedar diadop dari kebiasaan dalam masyarakat. Yang pertama merupakan ajaran pokok dan penting sehingga pasti diwajibkan; sementara yang terakhir merupakan ajaran pelengkap yang bersifat nisbi sehingga sifatnya adalah pilihan </w:t>
      </w:r>
      <w:r w:rsidR="00841939" w:rsidRPr="00AF082A">
        <w:rPr>
          <w:rFonts w:ascii="Times New Roman" w:hAnsi="Times New Roman"/>
          <w:i/>
          <w:iCs/>
        </w:rPr>
        <w:t>(optional)</w:t>
      </w:r>
      <w:r w:rsidR="00384A51">
        <w:rPr>
          <w:rFonts w:ascii="Times New Roman" w:hAnsi="Times New Roman"/>
        </w:rPr>
        <w:t>. Oleh karena itu dalam perspektif ini aneh jika akad-akad muamalah fiqhiyyah dianggap sebagai doktrin yang wajib dilaksanakan di segala tempat dan waktu.</w:t>
      </w:r>
    </w:p>
    <w:p w:rsidR="00384A51" w:rsidRDefault="00384A51" w:rsidP="00AF082A">
      <w:pPr>
        <w:pStyle w:val="ListParagraph"/>
        <w:spacing w:line="360" w:lineRule="auto"/>
        <w:ind w:left="0" w:firstLine="709"/>
        <w:contextualSpacing/>
        <w:jc w:val="both"/>
        <w:rPr>
          <w:rFonts w:ascii="Times New Roman" w:hAnsi="Times New Roman"/>
        </w:rPr>
      </w:pPr>
      <w:r>
        <w:rPr>
          <w:rFonts w:ascii="Times New Roman" w:hAnsi="Times New Roman"/>
        </w:rPr>
        <w:t>Demikianlah gambaran relativitas paradigma yang mendasari pengembangan produk perbankan syariah.</w:t>
      </w:r>
      <w:r w:rsidR="008026EE">
        <w:rPr>
          <w:rFonts w:ascii="Times New Roman" w:hAnsi="Times New Roman"/>
        </w:rPr>
        <w:t xml:space="preserve"> Dengan relatvitasnya doktrin tersebut tidak semestinya ia dijadikan sebagai paradigma yang mendasari pengembangan produk perbankan syariah, apalagi jika dengan doktrin tersebut justru membuat gerak perbankan syariah menjadi terhambat dan tersandung-sandung. Dengan kata lain paradigma yang ada saat ini perlu didekonstruksi</w:t>
      </w:r>
      <w:r w:rsidR="00C663FF">
        <w:rPr>
          <w:rFonts w:ascii="Times New Roman" w:hAnsi="Times New Roman"/>
        </w:rPr>
        <w:t xml:space="preserve"> untuk kemudian diganti dengan doktrin lain yang lebih rasional, realistis, dan fleksibel sehingga mampu mendudkung lahirnya produk-produk perbankan syariah yang lebih kompetitif.</w:t>
      </w:r>
    </w:p>
    <w:p w:rsidR="00C663FF" w:rsidRDefault="00C663FF" w:rsidP="008F16B3">
      <w:pPr>
        <w:pStyle w:val="ListParagraph"/>
        <w:spacing w:line="360" w:lineRule="auto"/>
        <w:ind w:left="0" w:firstLine="709"/>
        <w:contextualSpacing/>
        <w:jc w:val="both"/>
        <w:rPr>
          <w:rFonts w:ascii="Times New Roman" w:hAnsi="Times New Roman"/>
        </w:rPr>
      </w:pPr>
      <w:r>
        <w:rPr>
          <w:rFonts w:ascii="Times New Roman" w:hAnsi="Times New Roman"/>
        </w:rPr>
        <w:t xml:space="preserve">Di samping didasarkan atas tidak mutlaknya pengharaman bunga dan tidak harusnya mendasarkan diri pada akad-akad muamalah fiqhiyyah, paradigma </w:t>
      </w:r>
      <w:r>
        <w:rPr>
          <w:rFonts w:ascii="Times New Roman" w:hAnsi="Times New Roman"/>
        </w:rPr>
        <w:lastRenderedPageBreak/>
        <w:t xml:space="preserve">pengembangan produk perbankan syariah juga bisa didasarkan atas </w:t>
      </w:r>
      <w:r w:rsidR="008F16B3">
        <w:rPr>
          <w:rFonts w:ascii="Times New Roman" w:hAnsi="Times New Roman"/>
        </w:rPr>
        <w:t xml:space="preserve">prinsip </w:t>
      </w:r>
      <w:r>
        <w:rPr>
          <w:rFonts w:ascii="Times New Roman" w:hAnsi="Times New Roman"/>
        </w:rPr>
        <w:t xml:space="preserve">kebebasan </w:t>
      </w:r>
      <w:r w:rsidRPr="00AF082A">
        <w:rPr>
          <w:rFonts w:ascii="Times New Roman" w:hAnsi="Times New Roman"/>
          <w:i/>
          <w:iCs/>
        </w:rPr>
        <w:t>(al-bara`ah al-asliyyah)</w:t>
      </w:r>
      <w:r>
        <w:rPr>
          <w:rFonts w:ascii="Times New Roman" w:hAnsi="Times New Roman"/>
        </w:rPr>
        <w:t xml:space="preserve"> dalam bidang muamalah.</w:t>
      </w:r>
      <w:r w:rsidR="00D172E0">
        <w:rPr>
          <w:rStyle w:val="FootnoteReference"/>
          <w:rFonts w:ascii="Times New Roman" w:hAnsi="Times New Roman"/>
        </w:rPr>
        <w:footnoteReference w:id="30"/>
      </w:r>
      <w:r w:rsidR="008F16B3">
        <w:rPr>
          <w:rFonts w:ascii="Times New Roman" w:hAnsi="Times New Roman"/>
        </w:rPr>
        <w:t xml:space="preserve"> Prinsip yang sangat terkenal dan memberikan ruang gerak yang sa</w:t>
      </w:r>
      <w:r w:rsidR="00950D93">
        <w:rPr>
          <w:rFonts w:ascii="Times New Roman" w:hAnsi="Times New Roman"/>
        </w:rPr>
        <w:t>n</w:t>
      </w:r>
      <w:r w:rsidR="008F16B3">
        <w:rPr>
          <w:rFonts w:ascii="Times New Roman" w:hAnsi="Times New Roman"/>
        </w:rPr>
        <w:t xml:space="preserve">gat luas bagi kalangan perbankan syariah ini justru sering ‘dikebiri’ oleh doktrin-doktrin yang menghambat. Di samping itu prinsip maslahat dan </w:t>
      </w:r>
      <w:r w:rsidR="008327DE">
        <w:rPr>
          <w:rFonts w:ascii="Times New Roman" w:hAnsi="Times New Roman"/>
        </w:rPr>
        <w:t xml:space="preserve">rasional </w:t>
      </w:r>
      <w:r w:rsidR="008327DE" w:rsidRPr="00950D93">
        <w:rPr>
          <w:rFonts w:ascii="Times New Roman" w:hAnsi="Times New Roman"/>
          <w:i/>
          <w:iCs/>
        </w:rPr>
        <w:t>(ma`qulah al-ma’na)</w:t>
      </w:r>
      <w:r w:rsidR="008327DE">
        <w:rPr>
          <w:rFonts w:ascii="Times New Roman" w:hAnsi="Times New Roman"/>
        </w:rPr>
        <w:t xml:space="preserve"> juga perlu ditonjolkan.</w:t>
      </w:r>
    </w:p>
    <w:p w:rsidR="005B28E5" w:rsidRPr="00701397" w:rsidRDefault="005B28E5" w:rsidP="008F16B3">
      <w:pPr>
        <w:pStyle w:val="ListParagraph"/>
        <w:spacing w:line="360" w:lineRule="auto"/>
        <w:ind w:left="0" w:firstLine="709"/>
        <w:contextualSpacing/>
        <w:jc w:val="both"/>
        <w:rPr>
          <w:rFonts w:ascii="Times New Roman" w:hAnsi="Times New Roman"/>
        </w:rPr>
      </w:pPr>
    </w:p>
    <w:p w:rsidR="00125E1A" w:rsidRDefault="00125E1A" w:rsidP="00D75768">
      <w:pPr>
        <w:pStyle w:val="ListParagraph"/>
        <w:numPr>
          <w:ilvl w:val="0"/>
          <w:numId w:val="1"/>
        </w:numPr>
        <w:spacing w:line="360" w:lineRule="auto"/>
        <w:ind w:left="426" w:hanging="426"/>
        <w:contextualSpacing/>
        <w:rPr>
          <w:rFonts w:ascii="Times New Roman" w:hAnsi="Times New Roman"/>
          <w:b/>
          <w:bCs/>
        </w:rPr>
      </w:pPr>
      <w:r w:rsidRPr="00125E1A">
        <w:rPr>
          <w:rFonts w:ascii="Times New Roman" w:hAnsi="Times New Roman"/>
          <w:b/>
          <w:bCs/>
        </w:rPr>
        <w:t>Metode Penelitian</w:t>
      </w:r>
    </w:p>
    <w:p w:rsidR="00D75768" w:rsidRPr="00C97B6D" w:rsidRDefault="00D75768" w:rsidP="00D75768">
      <w:pPr>
        <w:pStyle w:val="Title"/>
        <w:spacing w:line="360" w:lineRule="auto"/>
        <w:ind w:firstLine="720"/>
        <w:jc w:val="both"/>
        <w:rPr>
          <w:noProof w:val="0"/>
        </w:rPr>
      </w:pPr>
      <w:r w:rsidRPr="00C97B6D">
        <w:rPr>
          <w:noProof w:val="0"/>
        </w:rPr>
        <w:t xml:space="preserve">Jenis Penelitian ini adalah penelitian pustaka </w:t>
      </w:r>
      <w:r w:rsidRPr="00C97B6D">
        <w:rPr>
          <w:i/>
          <w:noProof w:val="0"/>
        </w:rPr>
        <w:t>(library research)</w:t>
      </w:r>
      <w:r w:rsidRPr="00C97B6D">
        <w:rPr>
          <w:noProof w:val="0"/>
        </w:rPr>
        <w:t>, yakni penelitian yang obyek utamanya adalah buku-buku atau sumber kepustakaan yang lain. Maksudnya data-data dicari dan ditemukan melalui kajian pustaka dari buku-buku yang relevan dengan pembahasan.</w:t>
      </w:r>
    </w:p>
    <w:p w:rsidR="00D75768" w:rsidRPr="00C97B6D" w:rsidRDefault="00D75768" w:rsidP="007E1106">
      <w:pPr>
        <w:pStyle w:val="Title"/>
        <w:spacing w:line="360" w:lineRule="auto"/>
        <w:ind w:firstLine="720"/>
        <w:jc w:val="both"/>
        <w:rPr>
          <w:iCs/>
          <w:noProof w:val="0"/>
        </w:rPr>
      </w:pPr>
      <w:r w:rsidRPr="00C97B6D">
        <w:rPr>
          <w:noProof w:val="0"/>
        </w:rPr>
        <w:t xml:space="preserve">Adapun sifat penelitian ini adalah </w:t>
      </w:r>
      <w:r w:rsidRPr="00C97B6D">
        <w:rPr>
          <w:i/>
          <w:noProof w:val="0"/>
        </w:rPr>
        <w:t>eksplanatoris</w:t>
      </w:r>
      <w:r w:rsidRPr="00C97B6D">
        <w:rPr>
          <w:noProof w:val="0"/>
        </w:rPr>
        <w:t xml:space="preserve">, yakni penelitian untuk menemukan alasan, argumen, ataupun </w:t>
      </w:r>
      <w:r w:rsidRPr="00DC41EA">
        <w:rPr>
          <w:rFonts w:ascii="Times New Arabic" w:hAnsi="Times New Arabic"/>
          <w:i/>
          <w:iCs/>
          <w:noProof w:val="0"/>
        </w:rPr>
        <w:t>istidla&gt;l</w:t>
      </w:r>
      <w:r w:rsidRPr="00C97B6D">
        <w:rPr>
          <w:noProof w:val="0"/>
        </w:rPr>
        <w:t xml:space="preserve"> </w:t>
      </w:r>
      <w:r>
        <w:rPr>
          <w:noProof w:val="0"/>
        </w:rPr>
        <w:t>yang mendasari paradigma pengembangan produk perbankan syariah</w:t>
      </w:r>
      <w:r w:rsidRPr="00C97B6D">
        <w:rPr>
          <w:noProof w:val="0"/>
        </w:rPr>
        <w:t xml:space="preserve">. Pendekatan yang digunakan adalah juridis-normatif </w:t>
      </w:r>
      <w:r w:rsidR="007E1106">
        <w:rPr>
          <w:noProof w:val="0"/>
        </w:rPr>
        <w:t>dengan menitikberatkn pada fisafat hukum Islam</w:t>
      </w:r>
      <w:r w:rsidRPr="00C97B6D">
        <w:rPr>
          <w:noProof w:val="0"/>
        </w:rPr>
        <w:t xml:space="preserve">. </w:t>
      </w:r>
      <w:r w:rsidRPr="00C97B6D">
        <w:t>Maksudnya analisis-analisis yang dilakukan dalam penelitian ini terutama berpi</w:t>
      </w:r>
      <w:r w:rsidR="007E1106">
        <w:t>jak pada teori-teori hukum Islam, terutama filsafat hukumnya</w:t>
      </w:r>
      <w:r w:rsidRPr="00C97B6D">
        <w:t>.</w:t>
      </w:r>
    </w:p>
    <w:p w:rsidR="00367503" w:rsidRDefault="00367503" w:rsidP="00367503">
      <w:pPr>
        <w:pStyle w:val="FootnoteText"/>
        <w:spacing w:line="360" w:lineRule="auto"/>
        <w:ind w:firstLine="709"/>
        <w:jc w:val="both"/>
        <w:rPr>
          <w:rFonts w:asciiTheme="majorBidi" w:hAnsiTheme="majorBidi" w:cstheme="majorBidi"/>
          <w:sz w:val="24"/>
          <w:szCs w:val="24"/>
        </w:rPr>
      </w:pPr>
      <w:r w:rsidRPr="004E026B">
        <w:rPr>
          <w:rFonts w:asciiTheme="majorBidi" w:hAnsiTheme="majorBidi" w:cstheme="majorBidi"/>
          <w:iCs/>
          <w:noProof w:val="0"/>
          <w:sz w:val="24"/>
          <w:szCs w:val="24"/>
        </w:rPr>
        <w:t>Sumber data dibedakan menjadi dua, yakni sumber data primer dan sumber data sekunder. Sumber data primer dalam penelitian ini adalah referensi  utama dan otoritatif yang memuat informasi tentang produk perbankan syariah. Dalam konteks Indonesia referensi otoritatif mengenai hal ini adalah</w:t>
      </w:r>
      <w:r w:rsidRPr="004E026B">
        <w:rPr>
          <w:rFonts w:asciiTheme="majorBidi" w:hAnsiTheme="majorBidi" w:cstheme="majorBidi"/>
          <w:sz w:val="24"/>
          <w:szCs w:val="24"/>
        </w:rPr>
        <w:t xml:space="preserve"> “Kodifikasi Produk Perbankan Syariah” </w:t>
      </w:r>
      <w:r>
        <w:rPr>
          <w:rFonts w:asciiTheme="majorBidi" w:hAnsiTheme="majorBidi" w:cstheme="majorBidi"/>
          <w:sz w:val="24"/>
          <w:szCs w:val="24"/>
        </w:rPr>
        <w:t xml:space="preserve">yang diterbitkan </w:t>
      </w:r>
      <w:r w:rsidRPr="004E026B">
        <w:rPr>
          <w:rFonts w:asciiTheme="majorBidi" w:hAnsiTheme="majorBidi" w:cstheme="majorBidi"/>
          <w:sz w:val="24"/>
          <w:szCs w:val="24"/>
        </w:rPr>
        <w:t xml:space="preserve">Bank Indonesia </w:t>
      </w:r>
      <w:r>
        <w:rPr>
          <w:rFonts w:asciiTheme="majorBidi" w:hAnsiTheme="majorBidi" w:cstheme="majorBidi"/>
          <w:sz w:val="24"/>
          <w:szCs w:val="24"/>
        </w:rPr>
        <w:t>(</w:t>
      </w:r>
      <w:r w:rsidRPr="004E026B">
        <w:rPr>
          <w:rFonts w:asciiTheme="majorBidi" w:hAnsiTheme="majorBidi" w:cstheme="majorBidi"/>
          <w:sz w:val="24"/>
          <w:szCs w:val="24"/>
        </w:rPr>
        <w:t>2008</w:t>
      </w:r>
      <w:r>
        <w:rPr>
          <w:rFonts w:asciiTheme="majorBidi" w:hAnsiTheme="majorBidi" w:cstheme="majorBidi"/>
          <w:sz w:val="24"/>
          <w:szCs w:val="24"/>
        </w:rPr>
        <w:t xml:space="preserve">), </w:t>
      </w:r>
      <w:r w:rsidRPr="004042AA">
        <w:rPr>
          <w:rFonts w:asciiTheme="majorBidi" w:hAnsiTheme="majorBidi" w:cstheme="majorBidi"/>
          <w:sz w:val="24"/>
          <w:szCs w:val="24"/>
        </w:rPr>
        <w:t>SEOJK No. 36/SEOJK.03/2015 tentang Produk dan Aktivitas Bank Umum Syariah dan Unit Usaha Syariah</w:t>
      </w:r>
      <w:r>
        <w:rPr>
          <w:rFonts w:asciiTheme="majorBidi" w:hAnsiTheme="majorBidi" w:cstheme="majorBidi"/>
          <w:sz w:val="24"/>
          <w:szCs w:val="24"/>
        </w:rPr>
        <w:t xml:space="preserve">; </w:t>
      </w:r>
      <w:r w:rsidRPr="004042AA">
        <w:rPr>
          <w:rFonts w:asciiTheme="majorBidi" w:hAnsiTheme="majorBidi" w:cstheme="majorBidi"/>
          <w:sz w:val="24"/>
          <w:szCs w:val="24"/>
        </w:rPr>
        <w:t xml:space="preserve">Lampiran IV SEOJK No. 36/SEOJK.03/2015 tentang Produk dan </w:t>
      </w:r>
      <w:r w:rsidRPr="004042AA">
        <w:rPr>
          <w:rFonts w:asciiTheme="majorBidi" w:hAnsiTheme="majorBidi" w:cstheme="majorBidi"/>
          <w:sz w:val="24"/>
          <w:szCs w:val="24"/>
        </w:rPr>
        <w:lastRenderedPageBreak/>
        <w:t>Aktivitas Bank Umum Syariah dan Unit Usaha Syariah</w:t>
      </w:r>
      <w:r>
        <w:rPr>
          <w:rFonts w:asciiTheme="majorBidi" w:hAnsiTheme="majorBidi" w:cstheme="majorBidi"/>
          <w:sz w:val="24"/>
          <w:szCs w:val="24"/>
        </w:rPr>
        <w:t xml:space="preserve">; dan </w:t>
      </w:r>
      <w:r w:rsidRPr="004042AA">
        <w:rPr>
          <w:rFonts w:asciiTheme="majorBidi" w:hAnsiTheme="majorBidi" w:cstheme="majorBidi"/>
          <w:i/>
          <w:iCs/>
          <w:sz w:val="24"/>
          <w:szCs w:val="24"/>
        </w:rPr>
        <w:t>Himpunan Fatwa Keuangan Syariah</w:t>
      </w:r>
      <w:r w:rsidRPr="004042AA">
        <w:rPr>
          <w:rFonts w:asciiTheme="majorBidi" w:hAnsiTheme="majorBidi" w:cstheme="majorBidi"/>
          <w:sz w:val="24"/>
          <w:szCs w:val="24"/>
        </w:rPr>
        <w:t xml:space="preserve"> </w:t>
      </w:r>
      <w:r>
        <w:rPr>
          <w:rFonts w:asciiTheme="majorBidi" w:hAnsiTheme="majorBidi" w:cstheme="majorBidi"/>
          <w:sz w:val="24"/>
          <w:szCs w:val="24"/>
        </w:rPr>
        <w:t>yang diterbitkan oleh Dewan Syariah Nasional MUI (2014).</w:t>
      </w:r>
    </w:p>
    <w:p w:rsidR="00367503" w:rsidRPr="00C97B6D" w:rsidRDefault="00367503" w:rsidP="00367503">
      <w:pPr>
        <w:pStyle w:val="Title"/>
        <w:spacing w:line="360" w:lineRule="auto"/>
        <w:ind w:firstLine="720"/>
        <w:jc w:val="both"/>
        <w:rPr>
          <w:iCs/>
          <w:noProof w:val="0"/>
        </w:rPr>
      </w:pPr>
      <w:r>
        <w:rPr>
          <w:iCs/>
          <w:noProof w:val="0"/>
        </w:rPr>
        <w:t xml:space="preserve">Adapun </w:t>
      </w:r>
      <w:r w:rsidRPr="00C97B6D">
        <w:rPr>
          <w:iCs/>
          <w:noProof w:val="0"/>
        </w:rPr>
        <w:t xml:space="preserve">sumber data sekunder yang digunakan dalam penelitian ini adalah referensi yang memuat informasi pelengkap </w:t>
      </w:r>
      <w:r>
        <w:rPr>
          <w:iCs/>
          <w:noProof w:val="0"/>
        </w:rPr>
        <w:t xml:space="preserve">mengenai pengembangan produk bank syariah, seperti buku-buku:  M. Syafi’i Antonio, </w:t>
      </w:r>
      <w:r w:rsidRPr="005B28E5">
        <w:rPr>
          <w:i/>
          <w:noProof w:val="0"/>
        </w:rPr>
        <w:t>Bank Islam: Teori dan Praktik</w:t>
      </w:r>
      <w:r>
        <w:rPr>
          <w:iCs/>
          <w:noProof w:val="0"/>
        </w:rPr>
        <w:t xml:space="preserve"> dan Zainul Arifin, </w:t>
      </w:r>
      <w:r w:rsidRPr="005B28E5">
        <w:rPr>
          <w:i/>
          <w:noProof w:val="0"/>
        </w:rPr>
        <w:t>Memahami Bank Syariah:</w:t>
      </w:r>
      <w:r>
        <w:rPr>
          <w:iCs/>
          <w:noProof w:val="0"/>
        </w:rPr>
        <w:t xml:space="preserve"> </w:t>
      </w:r>
      <w:r w:rsidRPr="00D80178">
        <w:rPr>
          <w:rFonts w:asciiTheme="majorBidi" w:hAnsiTheme="majorBidi" w:cstheme="majorBidi"/>
          <w:i/>
          <w:iCs/>
        </w:rPr>
        <w:t>Lingkup, Peluang, Tantangan, dan Prospek</w:t>
      </w:r>
      <w:r>
        <w:rPr>
          <w:iCs/>
          <w:noProof w:val="0"/>
        </w:rPr>
        <w:t>. Dari kalangan pengamat kritis</w:t>
      </w:r>
      <w:r w:rsidRPr="00C97B6D">
        <w:rPr>
          <w:iCs/>
          <w:noProof w:val="0"/>
        </w:rPr>
        <w:t xml:space="preserve">, seperti: </w:t>
      </w:r>
      <w:r>
        <w:rPr>
          <w:iCs/>
          <w:noProof w:val="0"/>
        </w:rPr>
        <w:t xml:space="preserve"> Karya </w:t>
      </w:r>
      <w:r w:rsidRPr="00575C48">
        <w:t xml:space="preserve">Abdullah Saeed, </w:t>
      </w:r>
      <w:r w:rsidRPr="00575C48">
        <w:rPr>
          <w:i/>
          <w:iCs/>
        </w:rPr>
        <w:t>Islamic Banking and Interest: a Study of The Prohibition of Riba and Its Contemporary Interpretaion</w:t>
      </w:r>
      <w:r>
        <w:rPr>
          <w:i/>
          <w:iCs/>
        </w:rPr>
        <w:t xml:space="preserve"> </w:t>
      </w:r>
      <w:r w:rsidRPr="00461E39">
        <w:t>(</w:t>
      </w:r>
      <w:r w:rsidRPr="00575C48">
        <w:t>1996</w:t>
      </w:r>
      <w:r>
        <w:t xml:space="preserve">) dan </w:t>
      </w:r>
      <w:r>
        <w:rPr>
          <w:iCs/>
          <w:noProof w:val="0"/>
        </w:rPr>
        <w:t xml:space="preserve">Volker Nien Haus, </w:t>
      </w:r>
      <w:r>
        <w:t>“The Performance of Islamic Banks: Trends and Cases” (1988).</w:t>
      </w:r>
    </w:p>
    <w:p w:rsidR="00D75768" w:rsidRDefault="00D75768" w:rsidP="00D75768">
      <w:pPr>
        <w:pStyle w:val="Title"/>
        <w:spacing w:line="360" w:lineRule="auto"/>
        <w:ind w:firstLine="720"/>
        <w:jc w:val="both"/>
        <w:rPr>
          <w:noProof w:val="0"/>
        </w:rPr>
      </w:pPr>
      <w:bookmarkStart w:id="0" w:name="_GoBack"/>
      <w:bookmarkEnd w:id="0"/>
      <w:r w:rsidRPr="00C97B6D">
        <w:rPr>
          <w:iCs/>
          <w:noProof w:val="0"/>
        </w:rPr>
        <w:t xml:space="preserve">Adapun metode pengumpulan datanya, sesuai dengan jenis penelitiannya </w:t>
      </w:r>
      <w:r w:rsidRPr="0036110F">
        <w:rPr>
          <w:i/>
          <w:noProof w:val="0"/>
        </w:rPr>
        <w:t>(library research)</w:t>
      </w:r>
      <w:r w:rsidRPr="00C97B6D">
        <w:rPr>
          <w:iCs/>
          <w:noProof w:val="0"/>
        </w:rPr>
        <w:t xml:space="preserve"> adalah metode dokumentasi. Metode ini cocok digunakan untuk data-data tertulis sebagaimana data-data yang tetuang dalam buku-buku referensi tersebut. </w:t>
      </w:r>
      <w:r w:rsidRPr="00C97B6D">
        <w:rPr>
          <w:noProof w:val="0"/>
        </w:rPr>
        <w:t>Data-data yang terkumpul kemudian dianalisis secara kualitatif dengan metode induksi, deduksi, dan komparasi. Metode induksi digunakan ketika didapati data-data yang mempunyai unsur-unsur kesamaan kemudian dari situ ditarik menjadi kesimpulan umum. Sedangkan metode deduksi digunakan sebaliknya, yakni pengertian umum yang telah ada dicarikan data-data yang dapat menguatkannya. Adapun metode komparasi digunakan untuk mencari titik-titik persamaan dan perbedaan di antara data-data yang memiliki keserupaan.</w:t>
      </w:r>
      <w:r w:rsidR="00A5580D">
        <w:rPr>
          <w:noProof w:val="0"/>
        </w:rPr>
        <w:t xml:space="preserve"> </w:t>
      </w:r>
    </w:p>
    <w:p w:rsidR="00A5580D" w:rsidRPr="00C97B6D" w:rsidRDefault="00A5580D" w:rsidP="00D75768">
      <w:pPr>
        <w:pStyle w:val="Title"/>
        <w:spacing w:line="360" w:lineRule="auto"/>
        <w:ind w:firstLine="720"/>
        <w:jc w:val="both"/>
        <w:rPr>
          <w:noProof w:val="0"/>
        </w:rPr>
      </w:pPr>
      <w:r>
        <w:rPr>
          <w:noProof w:val="0"/>
        </w:rPr>
        <w:t>Untuk menjamin validitas data akan digunakan juga metode triangulasi.</w:t>
      </w:r>
      <w:r w:rsidR="00F37C9E">
        <w:rPr>
          <w:noProof w:val="0"/>
        </w:rPr>
        <w:t xml:space="preserve"> </w:t>
      </w:r>
      <w:r w:rsidR="00F37C9E">
        <w:t xml:space="preserve">Triangulasi pada hakikatnya merupakan pendekatan multimetode yang dilakukan peneliti pada saat mengumpulkan  dan menganalisis data. Ide dasarnya adalah bahwa fenomena yang diteliti dapat dipahami dengan baik sehingga diperoleh kebenaran tingkat tinggi jika didekati dari berbagai sudut pandang. Memotret fenomena tunggal dari sudut pandang yang berbeda-beda akan memungkinkan diperoleh tingkat kebenaran yang handal.  Karena itu, triangulasi ialah usaha mengecek kebenaran data atau informasi yang diperoleh peneliti dari berbagai </w:t>
      </w:r>
      <w:r w:rsidR="00F37C9E">
        <w:lastRenderedPageBreak/>
        <w:t>sudut pandang yang berbeda dengan cara mengurangi sebanyak  mungkin bias  yang terjadi pada saat pengumpulan dan analisis data.</w:t>
      </w:r>
      <w:r w:rsidR="00F37C9E">
        <w:rPr>
          <w:rStyle w:val="FootnoteReference"/>
        </w:rPr>
        <w:footnoteReference w:id="31"/>
      </w:r>
    </w:p>
    <w:p w:rsidR="00D75768" w:rsidRPr="00C97B6D" w:rsidRDefault="00D75768" w:rsidP="00006552">
      <w:pPr>
        <w:pStyle w:val="Title"/>
        <w:spacing w:line="360" w:lineRule="auto"/>
        <w:jc w:val="both"/>
        <w:rPr>
          <w:noProof w:val="0"/>
        </w:rPr>
      </w:pPr>
    </w:p>
    <w:p w:rsidR="00D75768" w:rsidRPr="00C97B6D" w:rsidRDefault="00D75768" w:rsidP="00DA3E15">
      <w:pPr>
        <w:pStyle w:val="Title"/>
        <w:numPr>
          <w:ilvl w:val="0"/>
          <w:numId w:val="1"/>
        </w:numPr>
        <w:spacing w:line="360" w:lineRule="auto"/>
        <w:ind w:left="426" w:hanging="426"/>
        <w:jc w:val="both"/>
        <w:rPr>
          <w:b/>
          <w:bCs/>
          <w:noProof w:val="0"/>
        </w:rPr>
      </w:pPr>
      <w:r w:rsidRPr="00C97B6D">
        <w:rPr>
          <w:b/>
          <w:bCs/>
          <w:noProof w:val="0"/>
        </w:rPr>
        <w:t xml:space="preserve"> Sistematika Pembahasan</w:t>
      </w:r>
    </w:p>
    <w:p w:rsidR="00D75768" w:rsidRPr="00006552" w:rsidRDefault="00D75768" w:rsidP="00006552">
      <w:pPr>
        <w:spacing w:line="360" w:lineRule="auto"/>
        <w:ind w:firstLine="709"/>
        <w:jc w:val="both"/>
        <w:rPr>
          <w:rFonts w:ascii="Times New Roman" w:hAnsi="Times New Roman"/>
        </w:rPr>
      </w:pPr>
      <w:r w:rsidRPr="00006552">
        <w:rPr>
          <w:rFonts w:ascii="Times New Roman" w:hAnsi="Times New Roman"/>
        </w:rPr>
        <w:t xml:space="preserve">Penyusunan laporan penelitian ini diawali dengan Bab I, Pendahuluan,  yang berisi paparan mengenai orientasi umum penelitian yang akan dilakukan yang meliputi latar belakang masalah, rumusan masalah, tujuan dan signifikansi penelitian, telaah pustaka, kerangka teori, metode penelitian, dan sistematika pembahasan. Bab ini pada dasarnya menjadi </w:t>
      </w:r>
      <w:r w:rsidRPr="00006552">
        <w:rPr>
          <w:rFonts w:ascii="Times New Roman" w:hAnsi="Times New Roman"/>
          <w:i/>
          <w:iCs/>
        </w:rPr>
        <w:t xml:space="preserve">guide </w:t>
      </w:r>
      <w:r w:rsidRPr="00006552">
        <w:rPr>
          <w:rFonts w:ascii="Times New Roman" w:hAnsi="Times New Roman"/>
        </w:rPr>
        <w:t>dalam proses penelitian sehingga tidak berbelok arah.</w:t>
      </w:r>
      <w:r w:rsidR="00277AB9">
        <w:rPr>
          <w:rFonts w:ascii="Times New Roman" w:hAnsi="Times New Roman"/>
        </w:rPr>
        <w:t xml:space="preserve"> </w:t>
      </w:r>
    </w:p>
    <w:p w:rsidR="00D75768" w:rsidRPr="00006552" w:rsidRDefault="00D75768" w:rsidP="002C5082">
      <w:pPr>
        <w:spacing w:line="360" w:lineRule="auto"/>
        <w:ind w:firstLine="709"/>
        <w:contextualSpacing/>
        <w:jc w:val="both"/>
        <w:rPr>
          <w:rFonts w:ascii="Times New Roman" w:hAnsi="Times New Roman"/>
        </w:rPr>
      </w:pPr>
      <w:r w:rsidRPr="00277AB9">
        <w:rPr>
          <w:rFonts w:ascii="Times New Roman" w:hAnsi="Times New Roman"/>
        </w:rPr>
        <w:t xml:space="preserve">Bab II, </w:t>
      </w:r>
      <w:r w:rsidR="00006552" w:rsidRPr="00277AB9">
        <w:rPr>
          <w:rFonts w:ascii="Times New Roman" w:hAnsi="Times New Roman"/>
          <w:iCs/>
        </w:rPr>
        <w:t>Paradigma Pengembangan Produk Perbankan Syariah</w:t>
      </w:r>
      <w:r w:rsidRPr="00277AB9">
        <w:rPr>
          <w:rFonts w:ascii="Times New Roman" w:hAnsi="Times New Roman"/>
        </w:rPr>
        <w:t xml:space="preserve">, pada dasarnya merupakan </w:t>
      </w:r>
      <w:r w:rsidR="00006552" w:rsidRPr="00277AB9">
        <w:rPr>
          <w:rFonts w:ascii="Times New Roman" w:hAnsi="Times New Roman"/>
        </w:rPr>
        <w:t xml:space="preserve">penyajian data yang akan menjadi obyek analisis pada bab empat. </w:t>
      </w:r>
      <w:r w:rsidRPr="00277AB9">
        <w:rPr>
          <w:rFonts w:ascii="Times New Roman" w:hAnsi="Times New Roman"/>
        </w:rPr>
        <w:t>Bab ini mencakup tiga sub bab</w:t>
      </w:r>
      <w:r w:rsidR="00277AB9">
        <w:rPr>
          <w:rFonts w:ascii="Times New Roman" w:hAnsi="Times New Roman"/>
        </w:rPr>
        <w:t xml:space="preserve"> yang merepresentasikan tiga paradigma pengembangan produk bank syariah</w:t>
      </w:r>
      <w:r w:rsidRPr="00277AB9">
        <w:rPr>
          <w:rFonts w:ascii="Times New Roman" w:hAnsi="Times New Roman"/>
        </w:rPr>
        <w:t xml:space="preserve">, </w:t>
      </w:r>
      <w:r w:rsidR="00277AB9">
        <w:rPr>
          <w:rFonts w:ascii="Times New Roman" w:hAnsi="Times New Roman"/>
        </w:rPr>
        <w:t>yakni paradigma b</w:t>
      </w:r>
      <w:r w:rsidR="00277AB9" w:rsidRPr="00277AB9">
        <w:rPr>
          <w:rFonts w:ascii="Times New Roman" w:hAnsi="Times New Roman"/>
        </w:rPr>
        <w:t xml:space="preserve">ebas </w:t>
      </w:r>
      <w:r w:rsidR="00277AB9">
        <w:rPr>
          <w:rFonts w:ascii="Times New Roman" w:hAnsi="Times New Roman"/>
        </w:rPr>
        <w:t>b</w:t>
      </w:r>
      <w:r w:rsidR="00277AB9" w:rsidRPr="00277AB9">
        <w:rPr>
          <w:rFonts w:ascii="Times New Roman" w:hAnsi="Times New Roman"/>
        </w:rPr>
        <w:t xml:space="preserve">unga </w:t>
      </w:r>
      <w:r w:rsidR="00277AB9">
        <w:rPr>
          <w:rFonts w:ascii="Times New Roman" w:hAnsi="Times New Roman"/>
        </w:rPr>
        <w:t>s</w:t>
      </w:r>
      <w:r w:rsidR="00277AB9" w:rsidRPr="00277AB9">
        <w:rPr>
          <w:rFonts w:ascii="Times New Roman" w:hAnsi="Times New Roman"/>
        </w:rPr>
        <w:t xml:space="preserve">ecara </w:t>
      </w:r>
      <w:r w:rsidR="00277AB9">
        <w:rPr>
          <w:rFonts w:ascii="Times New Roman" w:hAnsi="Times New Roman"/>
        </w:rPr>
        <w:t>m</w:t>
      </w:r>
      <w:r w:rsidR="00277AB9" w:rsidRPr="00277AB9">
        <w:rPr>
          <w:rFonts w:ascii="Times New Roman" w:hAnsi="Times New Roman"/>
        </w:rPr>
        <w:t>utlak</w:t>
      </w:r>
      <w:r w:rsidR="00277AB9">
        <w:rPr>
          <w:rFonts w:ascii="Times New Roman" w:hAnsi="Times New Roman"/>
        </w:rPr>
        <w:t>, b</w:t>
      </w:r>
      <w:r w:rsidR="00277AB9" w:rsidRPr="00277AB9">
        <w:rPr>
          <w:rFonts w:ascii="Times New Roman" w:hAnsi="Times New Roman"/>
        </w:rPr>
        <w:t xml:space="preserve">erbasis </w:t>
      </w:r>
      <w:r w:rsidR="00277AB9">
        <w:rPr>
          <w:rFonts w:ascii="Times New Roman" w:hAnsi="Times New Roman"/>
        </w:rPr>
        <w:t>ak</w:t>
      </w:r>
      <w:r w:rsidR="00277AB9" w:rsidRPr="00277AB9">
        <w:rPr>
          <w:rFonts w:ascii="Times New Roman" w:hAnsi="Times New Roman"/>
        </w:rPr>
        <w:t xml:space="preserve">ad </w:t>
      </w:r>
      <w:r w:rsidR="00277AB9">
        <w:rPr>
          <w:rFonts w:ascii="Times New Roman" w:hAnsi="Times New Roman"/>
        </w:rPr>
        <w:t>muamalah f</w:t>
      </w:r>
      <w:r w:rsidR="00277AB9" w:rsidRPr="00277AB9">
        <w:rPr>
          <w:rFonts w:ascii="Times New Roman" w:hAnsi="Times New Roman"/>
        </w:rPr>
        <w:t>iqhiyah</w:t>
      </w:r>
      <w:r w:rsidR="00277AB9">
        <w:rPr>
          <w:rFonts w:ascii="Times New Roman" w:hAnsi="Times New Roman"/>
        </w:rPr>
        <w:t>, dan b</w:t>
      </w:r>
      <w:r w:rsidR="00277AB9" w:rsidRPr="00277AB9">
        <w:rPr>
          <w:rFonts w:ascii="Times New Roman" w:hAnsi="Times New Roman"/>
        </w:rPr>
        <w:t xml:space="preserve">entuk </w:t>
      </w:r>
      <w:r w:rsidR="00277AB9">
        <w:rPr>
          <w:rFonts w:ascii="Times New Roman" w:hAnsi="Times New Roman"/>
        </w:rPr>
        <w:t>f</w:t>
      </w:r>
      <w:r w:rsidR="00277AB9" w:rsidRPr="00277AB9">
        <w:rPr>
          <w:rFonts w:ascii="Times New Roman" w:hAnsi="Times New Roman"/>
        </w:rPr>
        <w:t xml:space="preserve">ormal </w:t>
      </w:r>
      <w:r w:rsidR="00277AB9">
        <w:rPr>
          <w:rFonts w:ascii="Times New Roman" w:hAnsi="Times New Roman"/>
        </w:rPr>
        <w:t>a</w:t>
      </w:r>
      <w:r w:rsidR="00277AB9" w:rsidRPr="00277AB9">
        <w:rPr>
          <w:rFonts w:ascii="Times New Roman" w:hAnsi="Times New Roman"/>
        </w:rPr>
        <w:t xml:space="preserve">kad di atas </w:t>
      </w:r>
      <w:r w:rsidR="00277AB9">
        <w:rPr>
          <w:rFonts w:ascii="Times New Roman" w:hAnsi="Times New Roman"/>
        </w:rPr>
        <w:t>s</w:t>
      </w:r>
      <w:r w:rsidR="00277AB9" w:rsidRPr="00277AB9">
        <w:rPr>
          <w:rFonts w:ascii="Times New Roman" w:hAnsi="Times New Roman"/>
        </w:rPr>
        <w:t>ubstansinya</w:t>
      </w:r>
      <w:r w:rsidR="00277AB9">
        <w:rPr>
          <w:rFonts w:ascii="Times New Roman" w:hAnsi="Times New Roman"/>
        </w:rPr>
        <w:t>.</w:t>
      </w:r>
    </w:p>
    <w:p w:rsidR="00D75768" w:rsidRPr="00006552" w:rsidRDefault="00D75768" w:rsidP="00F84DCF">
      <w:pPr>
        <w:spacing w:line="360" w:lineRule="auto"/>
        <w:ind w:firstLine="709"/>
        <w:contextualSpacing/>
        <w:jc w:val="both"/>
        <w:rPr>
          <w:rFonts w:ascii="Times New Roman" w:hAnsi="Times New Roman"/>
          <w:i/>
          <w:iCs/>
        </w:rPr>
      </w:pPr>
      <w:r w:rsidRPr="00006552">
        <w:rPr>
          <w:rFonts w:ascii="Times New Roman" w:hAnsi="Times New Roman"/>
        </w:rPr>
        <w:t xml:space="preserve">Bab III, </w:t>
      </w:r>
      <w:r w:rsidR="002C5082">
        <w:rPr>
          <w:rFonts w:ascii="Times New Roman" w:hAnsi="Times New Roman"/>
        </w:rPr>
        <w:t xml:space="preserve">Problem Paradigmatik pada Produk </w:t>
      </w:r>
      <w:r w:rsidR="00F84DCF">
        <w:rPr>
          <w:rFonts w:ascii="Times New Roman" w:hAnsi="Times New Roman"/>
        </w:rPr>
        <w:t xml:space="preserve">Perbankan </w:t>
      </w:r>
      <w:r w:rsidR="002C5082">
        <w:rPr>
          <w:rFonts w:ascii="Times New Roman" w:hAnsi="Times New Roman"/>
        </w:rPr>
        <w:t>Syariah Beserta Basis Akadnya</w:t>
      </w:r>
      <w:r w:rsidRPr="00006552">
        <w:rPr>
          <w:rFonts w:ascii="Times New Roman" w:hAnsi="Times New Roman"/>
        </w:rPr>
        <w:t xml:space="preserve">, berisi </w:t>
      </w:r>
      <w:r w:rsidR="002C5082">
        <w:rPr>
          <w:rFonts w:ascii="Times New Roman" w:hAnsi="Times New Roman"/>
        </w:rPr>
        <w:t>gambaran tentang problem paradigmatik pengembangan produk bank syariah pada semua lininya, baik funding, financing, maupun jasa.</w:t>
      </w:r>
      <w:r w:rsidRPr="00006552">
        <w:rPr>
          <w:rFonts w:ascii="Times New Roman" w:hAnsi="Times New Roman"/>
        </w:rPr>
        <w:t xml:space="preserve"> </w:t>
      </w:r>
      <w:r w:rsidR="002C5082">
        <w:rPr>
          <w:rFonts w:ascii="Times New Roman" w:hAnsi="Times New Roman"/>
        </w:rPr>
        <w:t xml:space="preserve">Oleh karena itu </w:t>
      </w:r>
      <w:r w:rsidRPr="00006552">
        <w:rPr>
          <w:rFonts w:ascii="Times New Roman" w:hAnsi="Times New Roman"/>
        </w:rPr>
        <w:t xml:space="preserve">bab ini dipecah ke dalam </w:t>
      </w:r>
      <w:r w:rsidR="002C5082">
        <w:rPr>
          <w:rFonts w:ascii="Times New Roman" w:hAnsi="Times New Roman"/>
        </w:rPr>
        <w:t xml:space="preserve">tiga </w:t>
      </w:r>
      <w:r w:rsidRPr="00006552">
        <w:rPr>
          <w:rFonts w:ascii="Times New Roman" w:hAnsi="Times New Roman"/>
        </w:rPr>
        <w:t xml:space="preserve">sub bab, yakni sub bab mengenai </w:t>
      </w:r>
      <w:r w:rsidR="00B2678B">
        <w:rPr>
          <w:rFonts w:ascii="Times New Roman" w:hAnsi="Times New Roman"/>
        </w:rPr>
        <w:t xml:space="preserve">problem paradigmatik yang berkenaan dengan produk funding, </w:t>
      </w:r>
      <w:r w:rsidRPr="00006552">
        <w:rPr>
          <w:rFonts w:ascii="Times New Roman" w:hAnsi="Times New Roman"/>
        </w:rPr>
        <w:t xml:space="preserve">sub bab mengenai </w:t>
      </w:r>
      <w:r w:rsidR="00B2678B">
        <w:rPr>
          <w:rFonts w:ascii="Times New Roman" w:hAnsi="Times New Roman"/>
        </w:rPr>
        <w:t>problem paradigmatik yang berkenaan dengan produk financing, dan sub bab mengenai problem paradigmatik yang berkenaan dengan produk jasa</w:t>
      </w:r>
      <w:r w:rsidRPr="00006552">
        <w:rPr>
          <w:rFonts w:ascii="Times New Roman" w:hAnsi="Times New Roman"/>
        </w:rPr>
        <w:t>.</w:t>
      </w:r>
    </w:p>
    <w:p w:rsidR="00D75768" w:rsidRPr="00006552" w:rsidRDefault="00D75768" w:rsidP="00F84DCF">
      <w:pPr>
        <w:spacing w:line="360" w:lineRule="auto"/>
        <w:ind w:firstLine="709"/>
        <w:jc w:val="both"/>
        <w:rPr>
          <w:rFonts w:ascii="Times New Roman" w:hAnsi="Times New Roman"/>
        </w:rPr>
      </w:pPr>
      <w:r w:rsidRPr="00006552">
        <w:rPr>
          <w:rFonts w:ascii="Times New Roman" w:hAnsi="Times New Roman"/>
        </w:rPr>
        <w:t xml:space="preserve">Bab IV, </w:t>
      </w:r>
      <w:r w:rsidR="00B2678B">
        <w:rPr>
          <w:rFonts w:ascii="Times New Roman" w:hAnsi="Times New Roman"/>
        </w:rPr>
        <w:t xml:space="preserve">Dekonstruksi Paradigmatik Pengembangan Produk </w:t>
      </w:r>
      <w:r w:rsidR="00F84DCF">
        <w:rPr>
          <w:rFonts w:ascii="Times New Roman" w:hAnsi="Times New Roman"/>
        </w:rPr>
        <w:t>Perb</w:t>
      </w:r>
      <w:r w:rsidR="00B2678B">
        <w:rPr>
          <w:rFonts w:ascii="Times New Roman" w:hAnsi="Times New Roman"/>
        </w:rPr>
        <w:t>ank</w:t>
      </w:r>
      <w:r w:rsidR="00F84DCF">
        <w:rPr>
          <w:rFonts w:ascii="Times New Roman" w:hAnsi="Times New Roman"/>
        </w:rPr>
        <w:t>an</w:t>
      </w:r>
      <w:r w:rsidR="00B2678B">
        <w:rPr>
          <w:rFonts w:ascii="Times New Roman" w:hAnsi="Times New Roman"/>
        </w:rPr>
        <w:t xml:space="preserve"> Syariah</w:t>
      </w:r>
      <w:r w:rsidRPr="00006552">
        <w:rPr>
          <w:rFonts w:ascii="Times New Roman" w:hAnsi="Times New Roman"/>
        </w:rPr>
        <w:t xml:space="preserve">, merupakan bab yang berisi analisis terhadap </w:t>
      </w:r>
      <w:r w:rsidR="00B2678B">
        <w:rPr>
          <w:rFonts w:ascii="Times New Roman" w:hAnsi="Times New Roman"/>
        </w:rPr>
        <w:t>paradigma pengembangan produk bank syariah yang menurut penulis tidak bisa lagi dipertahankan jika bank syariah ingin maju dan bersaing dengan bank konvensional</w:t>
      </w:r>
      <w:r w:rsidRPr="00006552">
        <w:rPr>
          <w:rFonts w:ascii="Times New Roman" w:hAnsi="Times New Roman"/>
        </w:rPr>
        <w:t xml:space="preserve">. Agar lebih fokus bab ini dipecah ke dalam tiga sub bab, yakni </w:t>
      </w:r>
      <w:r w:rsidR="00F84DCF">
        <w:rPr>
          <w:rFonts w:ascii="Times New Roman" w:hAnsi="Times New Roman"/>
        </w:rPr>
        <w:t>pengharaman bunga tidak mutlak</w:t>
      </w:r>
      <w:r w:rsidRPr="00006552">
        <w:rPr>
          <w:rFonts w:ascii="Times New Roman" w:hAnsi="Times New Roman"/>
          <w:i/>
          <w:iCs/>
        </w:rPr>
        <w:t xml:space="preserve">, </w:t>
      </w:r>
      <w:r w:rsidR="00F84DCF">
        <w:rPr>
          <w:rFonts w:ascii="Times New Roman" w:hAnsi="Times New Roman"/>
        </w:rPr>
        <w:t xml:space="preserve">akad muamalah fiqhiyyah tidak harus selalu menjadi pijakan, </w:t>
      </w:r>
      <w:r w:rsidRPr="00006552">
        <w:rPr>
          <w:rFonts w:ascii="Times New Roman" w:hAnsi="Times New Roman"/>
        </w:rPr>
        <w:t xml:space="preserve">dan </w:t>
      </w:r>
      <w:r w:rsidR="00F84DCF">
        <w:rPr>
          <w:rFonts w:ascii="Times New Roman" w:hAnsi="Times New Roman"/>
        </w:rPr>
        <w:t>formalitas akad akan membawa kepada helah hukum syarak.</w:t>
      </w:r>
    </w:p>
    <w:p w:rsidR="00D75768" w:rsidRPr="00006552" w:rsidRDefault="00D75768" w:rsidP="00E7790B">
      <w:pPr>
        <w:spacing w:line="360" w:lineRule="auto"/>
        <w:ind w:firstLine="709"/>
        <w:jc w:val="both"/>
        <w:rPr>
          <w:rFonts w:ascii="Times New Roman" w:hAnsi="Times New Roman"/>
        </w:rPr>
      </w:pPr>
      <w:r w:rsidRPr="00006552">
        <w:rPr>
          <w:rFonts w:ascii="Times New Roman" w:hAnsi="Times New Roman"/>
        </w:rPr>
        <w:lastRenderedPageBreak/>
        <w:t xml:space="preserve">Bab V, </w:t>
      </w:r>
      <w:r w:rsidR="00F84DCF">
        <w:rPr>
          <w:rFonts w:ascii="Times New Roman" w:hAnsi="Times New Roman"/>
        </w:rPr>
        <w:t>Rekonstruksi Paradigma Baru Pengembangan Produk Perbankan Syariah</w:t>
      </w:r>
      <w:r w:rsidRPr="00006552">
        <w:rPr>
          <w:rFonts w:ascii="Times New Roman" w:hAnsi="Times New Roman"/>
        </w:rPr>
        <w:t xml:space="preserve">, merupakan analisis untuk </w:t>
      </w:r>
      <w:r w:rsidR="00F84DCF">
        <w:rPr>
          <w:rFonts w:ascii="Times New Roman" w:hAnsi="Times New Roman"/>
        </w:rPr>
        <w:t>memberikan tawaran paradigma baru yang lebih rasional, realistis, dan fleksibel, tetapi tetap sesuai syarak</w:t>
      </w:r>
      <w:r w:rsidRPr="00006552">
        <w:rPr>
          <w:rFonts w:ascii="Times New Roman" w:hAnsi="Times New Roman"/>
        </w:rPr>
        <w:t xml:space="preserve">. Agar lebih tajam maka bab ini dipecah dalam </w:t>
      </w:r>
      <w:r w:rsidR="00E7790B">
        <w:rPr>
          <w:rFonts w:ascii="Times New Roman" w:hAnsi="Times New Roman"/>
        </w:rPr>
        <w:t xml:space="preserve">empat </w:t>
      </w:r>
      <w:r w:rsidRPr="00006552">
        <w:rPr>
          <w:rFonts w:ascii="Times New Roman" w:hAnsi="Times New Roman"/>
        </w:rPr>
        <w:t xml:space="preserve">sub bab. Sub bab pertama tentang </w:t>
      </w:r>
      <w:r w:rsidR="00E7790B">
        <w:rPr>
          <w:rFonts w:ascii="Times New Roman" w:hAnsi="Times New Roman"/>
        </w:rPr>
        <w:t>prinsip kebebasan berkreasi</w:t>
      </w:r>
      <w:r w:rsidRPr="00006552">
        <w:rPr>
          <w:rFonts w:ascii="Times New Roman" w:hAnsi="Times New Roman"/>
        </w:rPr>
        <w:t xml:space="preserve">, sub bab kedua </w:t>
      </w:r>
      <w:r w:rsidR="00E7790B">
        <w:rPr>
          <w:rFonts w:ascii="Times New Roman" w:hAnsi="Times New Roman"/>
        </w:rPr>
        <w:t xml:space="preserve">tentang </w:t>
      </w:r>
      <w:r w:rsidR="001D1E0E">
        <w:rPr>
          <w:rFonts w:ascii="Times New Roman" w:hAnsi="Times New Roman"/>
        </w:rPr>
        <w:t>prinsip masahat</w:t>
      </w:r>
      <w:r w:rsidR="00DA3E15">
        <w:rPr>
          <w:rFonts w:ascii="Times New Roman" w:hAnsi="Times New Roman"/>
        </w:rPr>
        <w:t xml:space="preserve">, </w:t>
      </w:r>
      <w:r w:rsidR="00E7707C">
        <w:rPr>
          <w:rFonts w:ascii="Times New Roman" w:hAnsi="Times New Roman"/>
        </w:rPr>
        <w:t xml:space="preserve">sub bab ketiga tentang prinsip rasional, </w:t>
      </w:r>
      <w:r w:rsidR="00DA3E15">
        <w:rPr>
          <w:rFonts w:ascii="Times New Roman" w:hAnsi="Times New Roman"/>
        </w:rPr>
        <w:t>dan sub bab terakhir tentang alternatif baru yang ditawarkan bahwa lembaga keuangan syariah semestinya dibentuk dan dikembangkan dengan berakar pada tradisi Islam</w:t>
      </w:r>
      <w:r w:rsidRPr="00006552">
        <w:rPr>
          <w:rFonts w:ascii="Times New Roman" w:hAnsi="Times New Roman"/>
        </w:rPr>
        <w:t>.</w:t>
      </w:r>
    </w:p>
    <w:p w:rsidR="00D75768" w:rsidRPr="00006552" w:rsidRDefault="00D75768" w:rsidP="00DA3E15">
      <w:pPr>
        <w:spacing w:line="360" w:lineRule="auto"/>
        <w:ind w:firstLine="709"/>
        <w:jc w:val="both"/>
        <w:rPr>
          <w:rFonts w:ascii="Times New Roman" w:hAnsi="Times New Roman"/>
        </w:rPr>
      </w:pPr>
      <w:r w:rsidRPr="00006552">
        <w:rPr>
          <w:rFonts w:ascii="Times New Roman" w:hAnsi="Times New Roman"/>
        </w:rPr>
        <w:t xml:space="preserve">Bab VI, Penutup, berisi kesimpulan dari keseluruhan pembahasan pada bab-bab sebelumnya. Bab ini disertai juga dengan saran-saran yang perlu bagi </w:t>
      </w:r>
      <w:r w:rsidR="00DA3E15">
        <w:rPr>
          <w:rFonts w:ascii="Times New Roman" w:hAnsi="Times New Roman"/>
        </w:rPr>
        <w:t>penelitian selanjutnya berkenaan dengan problemtika yang dihadapi oleh perbankan syariah</w:t>
      </w:r>
      <w:r w:rsidRPr="00006552">
        <w:rPr>
          <w:rFonts w:ascii="Times New Roman" w:hAnsi="Times New Roman"/>
        </w:rPr>
        <w:t>.</w:t>
      </w:r>
    </w:p>
    <w:sectPr w:rsidR="00D75768" w:rsidRPr="00006552" w:rsidSect="00951E9C">
      <w:headerReference w:type="default" r:id="rId1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A8" w:rsidRDefault="004D50A8" w:rsidP="00BF5085">
      <w:r>
        <w:separator/>
      </w:r>
    </w:p>
  </w:endnote>
  <w:endnote w:type="continuationSeparator" w:id="0">
    <w:p w:rsidR="004D50A8" w:rsidRDefault="004D50A8" w:rsidP="00BF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A8" w:rsidRDefault="004D50A8" w:rsidP="00BF5085">
      <w:r>
        <w:separator/>
      </w:r>
    </w:p>
  </w:footnote>
  <w:footnote w:type="continuationSeparator" w:id="0">
    <w:p w:rsidR="004D50A8" w:rsidRDefault="004D50A8" w:rsidP="00BF5085">
      <w:r>
        <w:continuationSeparator/>
      </w:r>
    </w:p>
  </w:footnote>
  <w:footnote w:id="1">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Bebas bunga atau zero rate of interest merupakan salah satu dari tiga pilar ekonomi Islam. Perbankan syariah sebagai salah satu aspek dari ekonomi Islam tentu saja tidak bisa lepas dari doktrin tersebut. Lihat Timur Kuran, “The Economic System in Contemporary Islamic Thought: Interpretation and Assesment” </w:t>
      </w:r>
      <w:r w:rsidRPr="009E6A25">
        <w:rPr>
          <w:rFonts w:ascii="Times New Roman" w:hAnsi="Times New Roman"/>
          <w:i/>
          <w:iCs/>
        </w:rPr>
        <w:t>International Journal of Middle East Studies</w:t>
      </w:r>
      <w:r w:rsidRPr="009E6A25">
        <w:rPr>
          <w:rFonts w:ascii="Times New Roman" w:hAnsi="Times New Roman"/>
        </w:rPr>
        <w:t>, 18 (1986), hlm. 151.</w:t>
      </w:r>
    </w:p>
  </w:footnote>
  <w:footnote w:id="2">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Zainul Arifin, </w:t>
      </w:r>
      <w:r w:rsidRPr="009E6A25">
        <w:rPr>
          <w:rFonts w:ascii="Times New Roman" w:hAnsi="Times New Roman"/>
          <w:i/>
          <w:iCs/>
        </w:rPr>
        <w:t>Memahami Bank Syariah: Lingkup, Peluang, Tantangan, dan Prospek</w:t>
      </w:r>
      <w:r w:rsidRPr="009E6A25">
        <w:rPr>
          <w:rFonts w:ascii="Times New Roman" w:hAnsi="Times New Roman"/>
        </w:rPr>
        <w:t>, cet. 1 (Jakarta: Alvabet, 1999), hlm. 198.</w:t>
      </w:r>
    </w:p>
  </w:footnote>
  <w:footnote w:id="3">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Lihat Jamal Abdul Aziz, “Transformasi Akad Muamalah Klasik dalam Produk Perbankan Syariah,” </w:t>
      </w:r>
      <w:r w:rsidRPr="009E6A25">
        <w:rPr>
          <w:rFonts w:ascii="Times New Roman" w:hAnsi="Times New Roman"/>
          <w:i/>
          <w:iCs/>
        </w:rPr>
        <w:t>Al-Tahrir: Jurnal Pemikiran Islam,</w:t>
      </w:r>
      <w:r w:rsidRPr="009E6A25">
        <w:rPr>
          <w:rFonts w:ascii="Times New Roman" w:hAnsi="Times New Roman"/>
        </w:rPr>
        <w:t xml:space="preserve"> 12, 1 (2012), hlm. 21-41.</w:t>
      </w:r>
    </w:p>
  </w:footnote>
  <w:footnote w:id="4">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color w:val="FF0000"/>
        </w:rPr>
        <w:t xml:space="preserve"> </w:t>
      </w:r>
      <w:r w:rsidRPr="009E6A25">
        <w:rPr>
          <w:rFonts w:ascii="Times New Roman" w:hAnsi="Times New Roman"/>
        </w:rPr>
        <w:t xml:space="preserve">Lihat idem, “Transformasi  Akad Bay’ al-Murabahah dari Konsep Fikih ke Produk Bank (Analisis Kritis Perspektif Fikih Muamalah), </w:t>
      </w:r>
      <w:r w:rsidRPr="009E6A25">
        <w:rPr>
          <w:rFonts w:ascii="Times New Roman" w:hAnsi="Times New Roman"/>
          <w:i/>
          <w:iCs/>
        </w:rPr>
        <w:t>Al-Manahij: Jurnal Kajian Hukum Islam</w:t>
      </w:r>
      <w:r w:rsidRPr="009E6A25">
        <w:rPr>
          <w:rFonts w:ascii="Times New Roman" w:hAnsi="Times New Roman"/>
        </w:rPr>
        <w:t>, VIII, 2 (2014), hlm. 256-7.</w:t>
      </w:r>
    </w:p>
  </w:footnote>
  <w:footnote w:id="5">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Menurut Ibn Qudamah para fukaha dari kalangan Sahabat dan Tabi’in, seperti Ibn ‘Umar, Ibn ‘Abbas, ‘Ikrimah, Masruq, al-Hasan, ‘Ata` ibn Yasar, Sa’id ibn Jubayr, dan Ishaq ibn Rahawayh diriwayatkan tidak membolehkan </w:t>
      </w:r>
      <w:r w:rsidRPr="009E6A25">
        <w:rPr>
          <w:rFonts w:ascii="Times New Roman" w:hAnsi="Times New Roman"/>
          <w:i/>
          <w:iCs/>
        </w:rPr>
        <w:t>bay’ al-murabahah</w:t>
      </w:r>
      <w:r w:rsidRPr="009E6A25">
        <w:rPr>
          <w:rFonts w:ascii="Times New Roman" w:hAnsi="Times New Roman"/>
        </w:rPr>
        <w:t xml:space="preserve"> karena biasanya harganya tidak jelas pada waktu akad. Wizarah al-Awqaf wa al-Syu`un al-Islamiyyah al-Kuwayt, “al-Mawsu’ah al-Fiqhiyyah al-Kuwaytiyyah,” dalam </w:t>
      </w:r>
      <w:r w:rsidRPr="009E6A25">
        <w:rPr>
          <w:rFonts w:ascii="Times New Roman" w:hAnsi="Times New Roman"/>
          <w:i/>
          <w:iCs/>
        </w:rPr>
        <w:t>al-Maktabah al-Syamilah al-Isdar al-Sani</w:t>
      </w:r>
      <w:r w:rsidRPr="009E6A25">
        <w:rPr>
          <w:rFonts w:ascii="Times New Roman" w:hAnsi="Times New Roman"/>
        </w:rPr>
        <w:t>, II: 13457, entri “Bay’al-Murabahah”.</w:t>
      </w:r>
    </w:p>
  </w:footnote>
  <w:footnote w:id="6">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Hal ini didasarkan pada perbincangan penulis dengan beberapa praktisi bank syariah dalam perkuliahan Perkembangan Fikih Ekonomi Klasik-Kontemporer pada Pascasarjana IAN Purwokerto periode 2012-2015.</w:t>
      </w:r>
    </w:p>
  </w:footnote>
  <w:footnote w:id="7">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Arifin, </w:t>
      </w:r>
      <w:r w:rsidRPr="009E6A25">
        <w:rPr>
          <w:rFonts w:ascii="Times New Roman" w:hAnsi="Times New Roman"/>
          <w:i/>
          <w:iCs/>
        </w:rPr>
        <w:t>Memahami Bank Syariah</w:t>
      </w:r>
      <w:r w:rsidRPr="009E6A25">
        <w:rPr>
          <w:rFonts w:ascii="Times New Roman" w:hAnsi="Times New Roman"/>
        </w:rPr>
        <w:t>, hlm. 199.</w:t>
      </w:r>
    </w:p>
  </w:footnote>
  <w:footnote w:id="8">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Helah hukum dalam fikih adalah </w:t>
      </w:r>
      <w:r w:rsidRPr="00F973AF">
        <w:rPr>
          <w:rFonts w:ascii="Times New Roman" w:hAnsi="Times New Roman"/>
          <w:i/>
          <w:iCs/>
        </w:rPr>
        <w:t>hilah</w:t>
      </w:r>
      <w:r w:rsidRPr="009E6A25">
        <w:rPr>
          <w:rFonts w:ascii="Times New Roman" w:hAnsi="Times New Roman"/>
        </w:rPr>
        <w:t xml:space="preserve">, jamaknya </w:t>
      </w:r>
      <w:r w:rsidRPr="00F973AF">
        <w:rPr>
          <w:rFonts w:ascii="Times New Roman" w:hAnsi="Times New Roman"/>
          <w:i/>
          <w:iCs/>
        </w:rPr>
        <w:t>hiyal</w:t>
      </w:r>
      <w:r w:rsidRPr="009E6A25">
        <w:rPr>
          <w:rFonts w:ascii="Times New Roman" w:hAnsi="Times New Roman"/>
        </w:rPr>
        <w:t>, maknanya adalah “membalikkan hukum yang sebenarnya menjadi hukum yang berbeda dengan melakukan perbuatan yang secara lahir dapat membenarkannya, namun substansinya hanyalah main-main, baik hukum tersebut dalam ra</w:t>
      </w:r>
      <w:r w:rsidR="00F973AF">
        <w:rPr>
          <w:rFonts w:ascii="Times New Roman" w:hAnsi="Times New Roman"/>
        </w:rPr>
        <w:t>n</w:t>
      </w:r>
      <w:r w:rsidRPr="009E6A25">
        <w:rPr>
          <w:rFonts w:ascii="Times New Roman" w:hAnsi="Times New Roman"/>
        </w:rPr>
        <w:t xml:space="preserve">ah </w:t>
      </w:r>
      <w:r w:rsidRPr="00F973AF">
        <w:rPr>
          <w:rFonts w:ascii="Times New Roman" w:hAnsi="Times New Roman"/>
          <w:i/>
          <w:iCs/>
        </w:rPr>
        <w:t>taklifi</w:t>
      </w:r>
      <w:r w:rsidRPr="009E6A25">
        <w:rPr>
          <w:rFonts w:ascii="Times New Roman" w:hAnsi="Times New Roman"/>
        </w:rPr>
        <w:t xml:space="preserve"> atupun </w:t>
      </w:r>
      <w:r w:rsidRPr="00F973AF">
        <w:rPr>
          <w:rFonts w:ascii="Times New Roman" w:hAnsi="Times New Roman"/>
          <w:i/>
          <w:iCs/>
        </w:rPr>
        <w:t>wad’i</w:t>
      </w:r>
      <w:r w:rsidRPr="009E6A25">
        <w:rPr>
          <w:rFonts w:ascii="Times New Roman" w:hAnsi="Times New Roman"/>
        </w:rPr>
        <w:t xml:space="preserve">.” Demikian makna helah hukum menurut al-Syatibi sebagaimana dikutip oleh Abu Hatim. Lihat Abu Hatim Mahmud ibn al-Hasan al-Qazwini, </w:t>
      </w:r>
      <w:r w:rsidRPr="009E6A25">
        <w:rPr>
          <w:rFonts w:ascii="Times New Roman" w:hAnsi="Times New Roman"/>
          <w:i/>
          <w:iCs/>
        </w:rPr>
        <w:t>al-Hiyal fi al-Fiqh</w:t>
      </w:r>
      <w:r w:rsidRPr="009E6A25">
        <w:rPr>
          <w:rFonts w:ascii="Times New Roman" w:hAnsi="Times New Roman"/>
        </w:rPr>
        <w:t>, tahqiq: ‘Umar Hasan Muhammad Muhy al-Din al-Jabari (Beirut: Dar al-Kutub al-‘Ilmiyyah, 2012), hlm. 68.</w:t>
      </w:r>
    </w:p>
  </w:footnote>
  <w:footnote w:id="9">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Agaknya paradigma ini didasarkan pada Q.S. al-Baqarah (2): 275 yang berbunyi: </w:t>
      </w:r>
    </w:p>
    <w:p w:rsidR="00FD3BE7" w:rsidRPr="009E6A25" w:rsidRDefault="00FD3BE7" w:rsidP="009E6A25">
      <w:pPr>
        <w:pStyle w:val="FootnoteText"/>
        <w:ind w:firstLine="851"/>
        <w:jc w:val="center"/>
        <w:rPr>
          <w:rFonts w:ascii="Traditional Arabic" w:hAnsi="Traditional Arabic" w:cs="Traditional Arabic"/>
          <w:sz w:val="24"/>
          <w:szCs w:val="24"/>
        </w:rPr>
      </w:pPr>
      <w:r w:rsidRPr="009E6A25">
        <w:rPr>
          <w:rFonts w:ascii="Traditional Arabic" w:hAnsi="Traditional Arabic" w:cs="Traditional Arabic"/>
          <w:sz w:val="24"/>
          <w:szCs w:val="24"/>
          <w:rtl/>
        </w:rPr>
        <w:t>وَأَحَلَّ اللَّهُ الْبَيْعَ وَحَرَّمَ الرِّبَا</w:t>
      </w:r>
    </w:p>
  </w:footnote>
  <w:footnote w:id="10">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Volker Nienhaus, “The Performance of Islamic Banks: Trends and Cases,” dalam </w:t>
      </w:r>
      <w:r w:rsidRPr="009E6A25">
        <w:rPr>
          <w:rFonts w:ascii="Times New Roman" w:hAnsi="Times New Roman"/>
          <w:i/>
          <w:iCs/>
        </w:rPr>
        <w:t>Islamic Law and Finance</w:t>
      </w:r>
      <w:r w:rsidRPr="009E6A25">
        <w:rPr>
          <w:rFonts w:ascii="Times New Roman" w:hAnsi="Times New Roman"/>
        </w:rPr>
        <w:t>, ed. Chibli Mallat (London/Dordrecht/Boston: Graham  and Trotman, 1988), hlm. 156.</w:t>
      </w:r>
    </w:p>
  </w:footnote>
  <w:footnote w:id="11">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Lihat Aziz, “Transformasi Akad Bay’ al-Murabahah.”</w:t>
      </w:r>
    </w:p>
  </w:footnote>
  <w:footnote w:id="12">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Nienhaus, “The Performance,” hlm. 157; bandingkan Muhammad Sulayman al-Asyqar, </w:t>
      </w:r>
      <w:r w:rsidRPr="009E6A25">
        <w:rPr>
          <w:rFonts w:ascii="Times New Roman" w:hAnsi="Times New Roman"/>
          <w:i/>
          <w:iCs/>
        </w:rPr>
        <w:t>Bay’ al-</w:t>
      </w:r>
      <w:r>
        <w:rPr>
          <w:rFonts w:ascii="Times New Roman" w:hAnsi="Times New Roman"/>
          <w:i/>
          <w:iCs/>
        </w:rPr>
        <w:t>M</w:t>
      </w:r>
      <w:r w:rsidRPr="009E6A25">
        <w:rPr>
          <w:rFonts w:ascii="Times New Roman" w:hAnsi="Times New Roman"/>
          <w:i/>
          <w:iCs/>
        </w:rPr>
        <w:t>urabahah Kama Tajrihi al-Bunuk al-Islamiyyah,</w:t>
      </w:r>
      <w:r w:rsidRPr="009E6A25">
        <w:rPr>
          <w:rFonts w:ascii="Times New Roman" w:hAnsi="Times New Roman"/>
        </w:rPr>
        <w:t xml:space="preserve"> cet. 2 (‘Amman: Dar al-Nafa`is, 1995), hlm. 5. Menurutya porsi pembiayaan yang berbasis </w:t>
      </w:r>
      <w:r w:rsidRPr="009E6A25">
        <w:rPr>
          <w:rFonts w:ascii="Times New Roman" w:hAnsi="Times New Roman"/>
          <w:i/>
          <w:iCs/>
        </w:rPr>
        <w:t>murabahah</w:t>
      </w:r>
      <w:r w:rsidRPr="009E6A25">
        <w:rPr>
          <w:rFonts w:ascii="Times New Roman" w:hAnsi="Times New Roman"/>
        </w:rPr>
        <w:t xml:space="preserve"> ini mencapai 90% dari keselruhan pembiayaan di bank-bank syariah. Menurut kajian Ibrahim Warde (2000), pada umumnya 80-95 persen dari  total produk bank Islam adalah </w:t>
      </w:r>
      <w:r w:rsidRPr="009E6A25">
        <w:rPr>
          <w:rFonts w:ascii="Times New Roman" w:hAnsi="Times New Roman"/>
          <w:i/>
        </w:rPr>
        <w:t>murabahah</w:t>
      </w:r>
      <w:r w:rsidRPr="009E6A25">
        <w:rPr>
          <w:rFonts w:ascii="Times New Roman" w:hAnsi="Times New Roman"/>
        </w:rPr>
        <w:t xml:space="preserve">, sementara produk </w:t>
      </w:r>
      <w:r w:rsidRPr="009E6A25">
        <w:rPr>
          <w:rFonts w:ascii="Times New Roman" w:hAnsi="Times New Roman"/>
          <w:i/>
        </w:rPr>
        <w:t xml:space="preserve">mudarabah </w:t>
      </w:r>
      <w:r w:rsidRPr="009E6A25">
        <w:rPr>
          <w:rFonts w:ascii="Times New Roman" w:hAnsi="Times New Roman"/>
        </w:rPr>
        <w:t xml:space="preserve">yang merupakan </w:t>
      </w:r>
      <w:r w:rsidRPr="009E6A25">
        <w:rPr>
          <w:rFonts w:ascii="Times New Roman" w:hAnsi="Times New Roman"/>
          <w:i/>
        </w:rPr>
        <w:t xml:space="preserve">main concept </w:t>
      </w:r>
      <w:r w:rsidRPr="009E6A25">
        <w:rPr>
          <w:rFonts w:ascii="Times New Roman" w:hAnsi="Times New Roman"/>
        </w:rPr>
        <w:t xml:space="preserve">dari  perbankan Islam itu sendiri justru hanya kurang dari  10 persennya. Lihat </w:t>
      </w:r>
      <w:r w:rsidR="00F973AF">
        <w:rPr>
          <w:rFonts w:ascii="Times New Roman" w:hAnsi="Times New Roman"/>
        </w:rPr>
        <w:t xml:space="preserve">juga </w:t>
      </w:r>
      <w:r w:rsidRPr="009E6A25">
        <w:rPr>
          <w:rFonts w:ascii="Times New Roman" w:hAnsi="Times New Roman"/>
        </w:rPr>
        <w:t xml:space="preserve">Chibli Mallat, “Commercial Law in the Middle East: Between Classical Transaction and Modern Business” dalam </w:t>
      </w:r>
      <w:r w:rsidRPr="009E6A25">
        <w:rPr>
          <w:rFonts w:ascii="Times New Roman" w:hAnsi="Times New Roman"/>
          <w:i/>
        </w:rPr>
        <w:t>The American Journal of Comparative Law</w:t>
      </w:r>
      <w:r w:rsidRPr="009E6A25">
        <w:rPr>
          <w:rFonts w:ascii="Times New Roman" w:hAnsi="Times New Roman"/>
        </w:rPr>
        <w:t>, 48, 1 (2000), hal. 131.</w:t>
      </w:r>
    </w:p>
  </w:footnote>
  <w:footnote w:id="13">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i/>
          <w:iCs/>
        </w:rPr>
        <w:t>Ibid.</w:t>
      </w:r>
      <w:r w:rsidRPr="009E6A25">
        <w:rPr>
          <w:rFonts w:ascii="Times New Roman" w:hAnsi="Times New Roman"/>
        </w:rPr>
        <w:t xml:space="preserve"> </w:t>
      </w:r>
    </w:p>
  </w:footnote>
  <w:footnote w:id="14">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Kuran, “The Economic System”, hlm. 151.</w:t>
      </w:r>
    </w:p>
  </w:footnote>
  <w:footnote w:id="15">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i/>
          <w:iCs/>
        </w:rPr>
        <w:t>Ibid.,</w:t>
      </w:r>
      <w:r w:rsidRPr="009E6A25">
        <w:rPr>
          <w:rFonts w:ascii="Times New Roman" w:hAnsi="Times New Roman"/>
        </w:rPr>
        <w:t xml:space="preserve"> hlm. 157.</w:t>
      </w:r>
    </w:p>
  </w:footnote>
  <w:footnote w:id="16">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Abdullah Saeed, </w:t>
      </w:r>
      <w:r w:rsidRPr="009E6A25">
        <w:rPr>
          <w:rFonts w:ascii="Times New Roman" w:hAnsi="Times New Roman"/>
          <w:i/>
          <w:iCs/>
        </w:rPr>
        <w:t xml:space="preserve">Islamic Banking and Interest: a Study of The Prohibition of Riba and Its Contemporary Interpretaion </w:t>
      </w:r>
      <w:r w:rsidRPr="009E6A25">
        <w:rPr>
          <w:rFonts w:ascii="Times New Roman" w:hAnsi="Times New Roman"/>
        </w:rPr>
        <w:t>(Leiden-New York-Koln: E.J. Brill, 1996), hlm. 57.</w:t>
      </w:r>
    </w:p>
  </w:footnote>
  <w:footnote w:id="17">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i/>
          <w:iCs/>
        </w:rPr>
        <w:t>Ibid.,</w:t>
      </w:r>
      <w:r w:rsidRPr="009E6A25">
        <w:rPr>
          <w:rFonts w:ascii="Times New Roman" w:hAnsi="Times New Roman"/>
        </w:rPr>
        <w:t xml:space="preserve"> hlm. 66.</w:t>
      </w:r>
    </w:p>
  </w:footnote>
  <w:footnote w:id="18">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i/>
          <w:iCs/>
        </w:rPr>
        <w:t>Ibid.</w:t>
      </w:r>
      <w:r w:rsidRPr="009E6A25">
        <w:rPr>
          <w:rFonts w:ascii="Times New Roman" w:hAnsi="Times New Roman"/>
        </w:rPr>
        <w:t>, hlm. 71-3.</w:t>
      </w:r>
    </w:p>
  </w:footnote>
  <w:footnote w:id="19">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Lihat P.A. Rifa’i Hasan, “M. Dawam Rahardjo: Sebuah Penjelajahan Intelektual yang Tak Kenal Henti,” dalam Pengantar terhadap buku M. Dawam Rahardjo, </w:t>
      </w:r>
      <w:r w:rsidRPr="009E6A25">
        <w:rPr>
          <w:rFonts w:ascii="Times New Roman" w:hAnsi="Times New Roman"/>
          <w:i/>
          <w:iCs/>
        </w:rPr>
        <w:t>Arsitektur Ekonomi Islam: Menuju Kesejahteraan Sosial</w:t>
      </w:r>
      <w:r w:rsidRPr="009E6A25">
        <w:rPr>
          <w:rFonts w:ascii="Times New Roman" w:hAnsi="Times New Roman"/>
        </w:rPr>
        <w:t xml:space="preserve">, </w:t>
      </w:r>
      <w:r w:rsidR="005C5059">
        <w:rPr>
          <w:rFonts w:ascii="Times New Roman" w:hAnsi="Times New Roman"/>
        </w:rPr>
        <w:t xml:space="preserve">cet. 1 (Bandung: Mizan, 2015), </w:t>
      </w:r>
      <w:r w:rsidRPr="009E6A25">
        <w:rPr>
          <w:rFonts w:ascii="Times New Roman" w:hAnsi="Times New Roman"/>
        </w:rPr>
        <w:t xml:space="preserve">hlm. 16. Di sini ia memasukkan Dawam Rahardjo dalam kelompok kritis pengkaji ekonomi Islam. </w:t>
      </w:r>
    </w:p>
  </w:footnote>
  <w:footnote w:id="20">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M. Dawam Rahardjo, </w:t>
      </w:r>
      <w:r w:rsidRPr="009E6A25">
        <w:rPr>
          <w:rFonts w:ascii="Times New Roman" w:hAnsi="Times New Roman"/>
          <w:i/>
          <w:iCs/>
        </w:rPr>
        <w:t>Arsitektur Ekonomi Islam</w:t>
      </w:r>
      <w:r w:rsidRPr="009E6A25">
        <w:rPr>
          <w:rFonts w:ascii="Times New Roman" w:hAnsi="Times New Roman"/>
        </w:rPr>
        <w:t>, hlm. 227.</w:t>
      </w:r>
    </w:p>
  </w:footnote>
  <w:footnote w:id="21">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i/>
          <w:iCs/>
        </w:rPr>
        <w:t>Ibid.,</w:t>
      </w:r>
      <w:r w:rsidRPr="009E6A25">
        <w:rPr>
          <w:rFonts w:ascii="Times New Roman" w:hAnsi="Times New Roman"/>
        </w:rPr>
        <w:t xml:space="preserve"> hlm. 221. Lebih lanjut Rahardjo menjelaskan bahwa kapitalisme berperan dalam penciptaan pasar bebas. Biasanya, dalam sistem ini, sistem kapitalisme seringkali lengah dalam melakukan regulasi, sebagaimana dikatakan George Soros. Salah satu akibat dari kelengahan ini adalah krisis finansial global pada tahun 2008 ketika masyarakat terkelabui oleh tawaran produk </w:t>
      </w:r>
      <w:r w:rsidRPr="009E6A25">
        <w:rPr>
          <w:rFonts w:ascii="Times New Roman" w:hAnsi="Times New Roman"/>
          <w:i/>
          <w:iCs/>
        </w:rPr>
        <w:t>sub prime mortgage</w:t>
      </w:r>
      <w:r w:rsidRPr="009E6A25">
        <w:rPr>
          <w:rFonts w:ascii="Times New Roman" w:hAnsi="Times New Roman"/>
        </w:rPr>
        <w:t xml:space="preserve"> yang telah dikethaui dukungan transaksi riil yang mendasarinya </w:t>
      </w:r>
      <w:r w:rsidRPr="009E6A25">
        <w:rPr>
          <w:rFonts w:ascii="Times New Roman" w:hAnsi="Times New Roman"/>
          <w:i/>
          <w:iCs/>
        </w:rPr>
        <w:t>(underlying transaction).</w:t>
      </w:r>
    </w:p>
  </w:footnote>
  <w:footnote w:id="22">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hyperlink r:id="rId1" w:history="1">
        <w:r w:rsidRPr="009E6A25">
          <w:rPr>
            <w:rStyle w:val="Hyperlink"/>
            <w:rFonts w:ascii="Times New Roman" w:hAnsi="Times New Roman"/>
            <w:i/>
            <w:iCs/>
            <w:u w:val="none"/>
          </w:rPr>
          <w:t>https://id.wikipedia.org/wiki/Dekonstruksi</w:t>
        </w:r>
      </w:hyperlink>
      <w:r w:rsidRPr="009E6A25">
        <w:rPr>
          <w:rFonts w:ascii="Times New Roman" w:hAnsi="Times New Roman"/>
        </w:rPr>
        <w:t>, diakses 6 Februari 2016, pukul 07.25.</w:t>
      </w:r>
    </w:p>
  </w:footnote>
  <w:footnote w:id="23">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hyperlink r:id="rId2" w:history="1">
        <w:r w:rsidRPr="009E6A25">
          <w:rPr>
            <w:rStyle w:val="Hyperlink"/>
            <w:rFonts w:ascii="Times New Roman" w:hAnsi="Times New Roman"/>
            <w:i/>
            <w:iCs/>
            <w:u w:val="none"/>
          </w:rPr>
          <w:t>http://rendiasyah.blogspot.co.id/2013/05/teori-dekonstruksi.html</w:t>
        </w:r>
      </w:hyperlink>
      <w:r w:rsidRPr="009E6A25">
        <w:rPr>
          <w:rFonts w:ascii="Times New Roman" w:hAnsi="Times New Roman"/>
        </w:rPr>
        <w:t>. Diakses 6 Februari 2016, pukul 08.06.</w:t>
      </w:r>
    </w:p>
  </w:footnote>
  <w:footnote w:id="24">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i/>
          <w:iCs/>
        </w:rPr>
        <w:t>Ibid.</w:t>
      </w:r>
    </w:p>
  </w:footnote>
  <w:footnote w:id="25">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Istilah dalam filsafat yang artinya </w:t>
      </w:r>
      <w:r w:rsidRPr="009E6A25">
        <w:rPr>
          <w:rStyle w:val="st"/>
          <w:rFonts w:ascii="Times New Roman" w:hAnsi="Times New Roman"/>
        </w:rPr>
        <w:t>suatu problem yang sulit dipecahkan, karena kontradiksi dalam benda itu sendiri atau dalam konsep.</w:t>
      </w:r>
    </w:p>
  </w:footnote>
  <w:footnote w:id="26">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Asjmuni Abdurrahman, </w:t>
      </w:r>
      <w:r w:rsidRPr="009E6A25">
        <w:rPr>
          <w:rFonts w:ascii="Times New Roman" w:hAnsi="Times New Roman"/>
          <w:i/>
          <w:iCs/>
        </w:rPr>
        <w:t>Pengantar kepada Ijtihad</w:t>
      </w:r>
      <w:r w:rsidRPr="009E6A25">
        <w:rPr>
          <w:rFonts w:ascii="Times New Roman" w:hAnsi="Times New Roman"/>
        </w:rPr>
        <w:t xml:space="preserve">, cet. 1 (Jakarta: Bulan Bintang, 1978), hlm. 43. Bandingkan ‘Abd al-Wahhab Khallaf, </w:t>
      </w:r>
      <w:r w:rsidRPr="009E6A25">
        <w:rPr>
          <w:rFonts w:ascii="Times New Roman" w:hAnsi="Times New Roman"/>
          <w:i/>
          <w:iCs/>
        </w:rPr>
        <w:t>‘Ilm Usul al-Fiqh</w:t>
      </w:r>
      <w:r w:rsidRPr="009E6A25">
        <w:rPr>
          <w:rFonts w:ascii="Times New Roman" w:hAnsi="Times New Roman"/>
        </w:rPr>
        <w:t xml:space="preserve">, cet. 12 (al-Kuwayt: Dar al-Qalam, 1978), hlm. 221; Jalal al-Din ‘Abd al-Rahman ibn Abi Bakr al-Suyuti, </w:t>
      </w:r>
      <w:r w:rsidRPr="009E6A25">
        <w:rPr>
          <w:rFonts w:ascii="Times New Roman" w:hAnsi="Times New Roman"/>
          <w:i/>
          <w:iCs/>
        </w:rPr>
        <w:t>al-Asybah wa al-Naza`ir</w:t>
      </w:r>
      <w:r w:rsidRPr="009E6A25">
        <w:rPr>
          <w:rFonts w:ascii="Times New Roman" w:hAnsi="Times New Roman"/>
        </w:rPr>
        <w:t xml:space="preserve"> (Semarang: Toha Putra, t.t.), hlm. 71-2; ‘Abd al-‘Aziz Muhammad ‘Azzam, </w:t>
      </w:r>
      <w:r w:rsidRPr="009E6A25">
        <w:rPr>
          <w:rFonts w:ascii="Times New Roman" w:hAnsi="Times New Roman"/>
          <w:i/>
          <w:iCs/>
        </w:rPr>
        <w:t>al-Qawa’id al-Fiqhiyyah</w:t>
      </w:r>
      <w:r w:rsidRPr="009E6A25">
        <w:rPr>
          <w:rFonts w:ascii="Times New Roman" w:hAnsi="Times New Roman"/>
        </w:rPr>
        <w:t xml:space="preserve"> (Kairo: Dar al-Hadis, 2005), hlm. 234.</w:t>
      </w:r>
    </w:p>
  </w:footnote>
  <w:footnote w:id="27">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Bandingkan Wael Hallaq, “From Fatwas to Furu’: Growth and Change in Islamic Substantive Law,” dalam </w:t>
      </w:r>
      <w:r w:rsidRPr="009E6A25">
        <w:rPr>
          <w:rFonts w:ascii="Times New Roman" w:hAnsi="Times New Roman"/>
          <w:i/>
          <w:iCs/>
        </w:rPr>
        <w:t>An Anthology of Islamic Law Studies</w:t>
      </w:r>
      <w:r w:rsidRPr="009E6A25">
        <w:rPr>
          <w:rFonts w:ascii="Times New Roman" w:hAnsi="Times New Roman"/>
        </w:rPr>
        <w:t>, ed. Howard M. Federspiel (Montreal: McGill Institute of Islamic Studies, 1996), hlm. 184. Di sini Hallaq menyatakan bahwa mujtahid sama dengan mufti. Oleh karena itu produk mufti sama dengan produk mujtahid, yakni hasil ijtihad.</w:t>
      </w:r>
    </w:p>
  </w:footnote>
  <w:footnote w:id="28">
    <w:p w:rsidR="005B43C7" w:rsidRPr="00D93BEF" w:rsidRDefault="005B43C7" w:rsidP="00D93BEF">
      <w:pPr>
        <w:pStyle w:val="FootnoteText"/>
        <w:ind w:firstLine="851"/>
        <w:jc w:val="both"/>
        <w:rPr>
          <w:rFonts w:asciiTheme="majorBidi" w:hAnsiTheme="majorBidi" w:cstheme="majorBidi"/>
        </w:rPr>
      </w:pPr>
      <w:r w:rsidRPr="00D93BEF">
        <w:rPr>
          <w:rStyle w:val="FootnoteReference"/>
          <w:rFonts w:asciiTheme="majorBidi" w:hAnsiTheme="majorBidi" w:cstheme="majorBidi"/>
        </w:rPr>
        <w:footnoteRef/>
      </w:r>
      <w:r w:rsidRPr="00D93BEF">
        <w:rPr>
          <w:rFonts w:asciiTheme="majorBidi" w:hAnsiTheme="majorBidi" w:cstheme="majorBidi"/>
        </w:rPr>
        <w:t xml:space="preserve"> </w:t>
      </w:r>
      <w:r w:rsidR="00D93BEF" w:rsidRPr="00D93BEF">
        <w:rPr>
          <w:rFonts w:asciiTheme="majorBidi" w:hAnsiTheme="majorBidi" w:cstheme="majorBidi"/>
        </w:rPr>
        <w:t xml:space="preserve">Hal ini ditunjukkan adanya perbedaan pandangan dikalangan ulama dan cendekiawan muslim mengenai hukum bunga bank. Kendati mayoritas menghukuminya haram karena disamakan dengan riba, namun sebagian mereka berpendapat boleh karena bunga tidak sama dengan riba. Untuk gambaran perdebatan mengenai hukum bunga bank lihat, misalnya Saeed, </w:t>
      </w:r>
      <w:r w:rsidR="00D93BEF" w:rsidRPr="00D93BEF">
        <w:rPr>
          <w:rFonts w:asciiTheme="majorBidi" w:hAnsiTheme="majorBidi" w:cstheme="majorBidi"/>
          <w:i/>
          <w:iCs/>
        </w:rPr>
        <w:t>Islamic Banking and Interest</w:t>
      </w:r>
      <w:r w:rsidR="00D93BEF" w:rsidRPr="00D93BEF">
        <w:rPr>
          <w:rFonts w:asciiTheme="majorBidi" w:hAnsiTheme="majorBidi" w:cstheme="majorBidi"/>
        </w:rPr>
        <w:t xml:space="preserve">, hlm. 41-50; Aziz, “Riba dan Bunga Bank: Analisis terhadap Metode Istibat Hukum,” dalam </w:t>
      </w:r>
      <w:r w:rsidR="00D93BEF" w:rsidRPr="00D93BEF">
        <w:rPr>
          <w:rFonts w:asciiTheme="majorBidi" w:hAnsiTheme="majorBidi" w:cstheme="majorBidi"/>
          <w:i/>
          <w:iCs/>
        </w:rPr>
        <w:t>Asy-Syir’ah</w:t>
      </w:r>
      <w:r w:rsidR="00D93BEF">
        <w:rPr>
          <w:rFonts w:asciiTheme="majorBidi" w:hAnsiTheme="majorBidi" w:cstheme="majorBidi"/>
          <w:i/>
          <w:iCs/>
        </w:rPr>
        <w:t>: Jurnal Ilmu Syariah</w:t>
      </w:r>
      <w:r w:rsidR="00D93BEF" w:rsidRPr="00D93BEF">
        <w:rPr>
          <w:rFonts w:asciiTheme="majorBidi" w:hAnsiTheme="majorBidi" w:cstheme="majorBidi"/>
        </w:rPr>
        <w:t>, 38, 2 (2004), hlm. 242-63.</w:t>
      </w:r>
    </w:p>
  </w:footnote>
  <w:footnote w:id="29">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Bandingkan Joseph De Somogyi, “Trade in the Qur`an and Hadith,” dalam </w:t>
      </w:r>
      <w:r w:rsidRPr="009E6A25">
        <w:rPr>
          <w:rFonts w:ascii="Times New Roman" w:hAnsi="Times New Roman"/>
          <w:i/>
          <w:iCs/>
        </w:rPr>
        <w:t>The Muslim World</w:t>
      </w:r>
      <w:r w:rsidRPr="009E6A25">
        <w:rPr>
          <w:rFonts w:ascii="Times New Roman" w:hAnsi="Times New Roman"/>
        </w:rPr>
        <w:t xml:space="preserve">, 52 (1962), hlm. 110-4; ‘Abdullah ‘Alwi Haji Hassan, </w:t>
      </w:r>
      <w:r w:rsidRPr="009E6A25">
        <w:rPr>
          <w:rFonts w:ascii="Times New Roman" w:hAnsi="Times New Roman"/>
          <w:i/>
          <w:iCs/>
        </w:rPr>
        <w:t>Sales and Contracts in Islamic Commercial Law</w:t>
      </w:r>
      <w:r w:rsidRPr="009E6A25">
        <w:rPr>
          <w:rFonts w:ascii="Times New Roman" w:hAnsi="Times New Roman"/>
        </w:rPr>
        <w:t xml:space="preserve">, (New Delhi: Kitab Bhavan, 1997), hlm. 1, 5, dan 10; Saeed, </w:t>
      </w:r>
      <w:r w:rsidRPr="009E6A25">
        <w:rPr>
          <w:rFonts w:ascii="Times New Roman" w:hAnsi="Times New Roman"/>
          <w:i/>
          <w:iCs/>
        </w:rPr>
        <w:t>Islamic Banking</w:t>
      </w:r>
      <w:r w:rsidRPr="009E6A25">
        <w:rPr>
          <w:rFonts w:ascii="Times New Roman" w:hAnsi="Times New Roman"/>
        </w:rPr>
        <w:t>, hlm. 51-2, 59, 76-7.</w:t>
      </w:r>
    </w:p>
  </w:footnote>
  <w:footnote w:id="30">
    <w:p w:rsidR="00FD3BE7" w:rsidRPr="009E6A25" w:rsidRDefault="00FD3BE7" w:rsidP="009E6A25">
      <w:pPr>
        <w:pStyle w:val="FootnoteText"/>
        <w:ind w:firstLine="851"/>
        <w:jc w:val="both"/>
        <w:rPr>
          <w:rFonts w:ascii="Times New Roman" w:hAnsi="Times New Roman"/>
        </w:rPr>
      </w:pPr>
      <w:r w:rsidRPr="009E6A25">
        <w:rPr>
          <w:rStyle w:val="FootnoteReference"/>
          <w:rFonts w:ascii="Times New Roman" w:hAnsi="Times New Roman"/>
        </w:rPr>
        <w:footnoteRef/>
      </w:r>
      <w:r w:rsidRPr="009E6A25">
        <w:rPr>
          <w:rFonts w:ascii="Times New Roman" w:hAnsi="Times New Roman"/>
        </w:rPr>
        <w:t xml:space="preserve"> </w:t>
      </w:r>
      <w:r w:rsidRPr="009E6A25">
        <w:rPr>
          <w:rFonts w:ascii="Times New Roman" w:hAnsi="Times New Roman"/>
        </w:rPr>
        <w:t xml:space="preserve">Ada dua kaidah penting </w:t>
      </w:r>
      <w:r w:rsidRPr="009E6A25">
        <w:rPr>
          <w:rFonts w:ascii="Times New Roman" w:hAnsi="Times New Roman"/>
          <w:iCs/>
        </w:rPr>
        <w:t>dalam</w:t>
      </w:r>
      <w:r w:rsidRPr="009E6A25">
        <w:rPr>
          <w:rFonts w:ascii="Times New Roman" w:hAnsi="Times New Roman"/>
          <w:i/>
        </w:rPr>
        <w:t xml:space="preserve"> </w:t>
      </w:r>
      <w:r w:rsidRPr="009E6A25">
        <w:rPr>
          <w:rFonts w:ascii="Times New Roman" w:hAnsi="Times New Roman"/>
        </w:rPr>
        <w:t xml:space="preserve">hal ini, yakni: </w:t>
      </w:r>
    </w:p>
    <w:p w:rsidR="00FD3BE7" w:rsidRPr="00E52B1C" w:rsidRDefault="00FD3BE7" w:rsidP="00E52B1C">
      <w:pPr>
        <w:pStyle w:val="FootnoteText"/>
        <w:numPr>
          <w:ilvl w:val="0"/>
          <w:numId w:val="18"/>
        </w:numPr>
        <w:bidi/>
        <w:ind w:left="424" w:hanging="284"/>
        <w:jc w:val="both"/>
        <w:rPr>
          <w:rFonts w:ascii="Traditional Arabic" w:hAnsi="Traditional Arabic" w:cs="Traditional Arabic"/>
          <w:sz w:val="24"/>
          <w:szCs w:val="24"/>
        </w:rPr>
      </w:pPr>
      <w:r w:rsidRPr="00E52B1C">
        <w:rPr>
          <w:rFonts w:ascii="Traditional Arabic" w:hAnsi="Traditional Arabic" w:cs="Traditional Arabic"/>
          <w:sz w:val="24"/>
          <w:szCs w:val="24"/>
          <w:rtl/>
        </w:rPr>
        <w:t>الأصل في الأشياء الإباحة حتي يدل الدليل علي الحظر</w:t>
      </w:r>
    </w:p>
    <w:p w:rsidR="00FD3BE7" w:rsidRPr="00E52B1C" w:rsidRDefault="00FD3BE7" w:rsidP="00E52B1C">
      <w:pPr>
        <w:pStyle w:val="FootnoteText"/>
        <w:numPr>
          <w:ilvl w:val="0"/>
          <w:numId w:val="18"/>
        </w:numPr>
        <w:bidi/>
        <w:ind w:left="424" w:hanging="284"/>
        <w:jc w:val="both"/>
        <w:rPr>
          <w:rFonts w:ascii="Traditional Arabic" w:hAnsi="Traditional Arabic" w:cs="Traditional Arabic"/>
          <w:sz w:val="24"/>
          <w:szCs w:val="24"/>
          <w:rtl/>
        </w:rPr>
      </w:pPr>
      <w:r w:rsidRPr="00E52B1C">
        <w:rPr>
          <w:rFonts w:ascii="Traditional Arabic" w:hAnsi="Traditional Arabic" w:cs="Traditional Arabic"/>
          <w:sz w:val="24"/>
          <w:szCs w:val="24"/>
          <w:rtl/>
        </w:rPr>
        <w:t>الاصل براءة الذمة</w:t>
      </w:r>
    </w:p>
    <w:p w:rsidR="00FD3BE7" w:rsidRPr="009E6A25" w:rsidRDefault="00FD3BE7" w:rsidP="00E52B1C">
      <w:pPr>
        <w:pStyle w:val="FootnoteText"/>
        <w:jc w:val="both"/>
        <w:rPr>
          <w:rFonts w:ascii="Times New Roman" w:hAnsi="Times New Roman"/>
        </w:rPr>
      </w:pPr>
      <w:r>
        <w:rPr>
          <w:rFonts w:ascii="Times New Roman" w:hAnsi="Times New Roman"/>
        </w:rPr>
        <w:t xml:space="preserve">Lihat </w:t>
      </w:r>
      <w:r w:rsidRPr="009E6A25">
        <w:rPr>
          <w:rFonts w:ascii="Times New Roman" w:hAnsi="Times New Roman"/>
        </w:rPr>
        <w:t xml:space="preserve">‘Abd al-Rahman ibn Nasir al-Sa’di, </w:t>
      </w:r>
      <w:r w:rsidRPr="009E6A25">
        <w:rPr>
          <w:rFonts w:ascii="Times New Roman" w:hAnsi="Times New Roman"/>
          <w:i/>
          <w:iCs/>
        </w:rPr>
        <w:t>al-Qawa’id al-Fiqhiyyah</w:t>
      </w:r>
      <w:r w:rsidRPr="009E6A25">
        <w:rPr>
          <w:rFonts w:ascii="Times New Roman" w:hAnsi="Times New Roman"/>
        </w:rPr>
        <w:t xml:space="preserve">, cet. 1 (Kairo: Dar al-Haramayn, 1999), hlm. 31; ‘Azzam, </w:t>
      </w:r>
      <w:r w:rsidRPr="00E52B1C">
        <w:rPr>
          <w:rFonts w:ascii="Times New Roman" w:hAnsi="Times New Roman"/>
          <w:i/>
          <w:iCs/>
        </w:rPr>
        <w:t>al-Qawa’id al-Fiqhiyyah</w:t>
      </w:r>
      <w:r w:rsidRPr="009E6A25">
        <w:rPr>
          <w:rFonts w:ascii="Times New Roman" w:hAnsi="Times New Roman"/>
        </w:rPr>
        <w:t xml:space="preserve">, hlm. 109-11; A. Hassan, “Jual dengan Janji Beli Kembali”  dalam A. Hassan, </w:t>
      </w:r>
      <w:r w:rsidRPr="009E6A25">
        <w:rPr>
          <w:rFonts w:ascii="Times New Roman" w:hAnsi="Times New Roman"/>
          <w:i/>
        </w:rPr>
        <w:t>Soal Jawab</w:t>
      </w:r>
      <w:r w:rsidRPr="009E6A25">
        <w:rPr>
          <w:rFonts w:ascii="Times New Roman" w:hAnsi="Times New Roman"/>
        </w:rPr>
        <w:t xml:space="preserve"> </w:t>
      </w:r>
      <w:r w:rsidRPr="009E6A25">
        <w:rPr>
          <w:rFonts w:ascii="Times New Roman" w:hAnsi="Times New Roman"/>
          <w:i/>
        </w:rPr>
        <w:t xml:space="preserve">Masalah Agama </w:t>
      </w:r>
      <w:r w:rsidRPr="009E6A25">
        <w:rPr>
          <w:rFonts w:ascii="Times New Roman" w:hAnsi="Times New Roman"/>
        </w:rPr>
        <w:t>(Bangil: Percetakan Persatuan, 1985), IV: 1522.</w:t>
      </w:r>
    </w:p>
    <w:p w:rsidR="00FD3BE7" w:rsidRPr="009E6A25" w:rsidRDefault="00FD3BE7" w:rsidP="009E6A25">
      <w:pPr>
        <w:pStyle w:val="FootnoteText"/>
        <w:ind w:firstLine="851"/>
        <w:jc w:val="both"/>
        <w:rPr>
          <w:rFonts w:ascii="Times New Roman" w:hAnsi="Times New Roman"/>
        </w:rPr>
      </w:pPr>
    </w:p>
  </w:footnote>
  <w:footnote w:id="31">
    <w:p w:rsidR="00F37C9E" w:rsidRPr="00E05B8B" w:rsidRDefault="00F37C9E" w:rsidP="00E05B8B">
      <w:pPr>
        <w:pStyle w:val="FootnoteText"/>
        <w:ind w:firstLine="851"/>
        <w:jc w:val="both"/>
        <w:rPr>
          <w:rFonts w:asciiTheme="majorBidi" w:hAnsiTheme="majorBidi" w:cstheme="majorBidi"/>
        </w:rPr>
      </w:pPr>
      <w:r w:rsidRPr="00E05B8B">
        <w:rPr>
          <w:rStyle w:val="FootnoteReference"/>
          <w:rFonts w:asciiTheme="majorBidi" w:hAnsiTheme="majorBidi" w:cstheme="majorBidi"/>
        </w:rPr>
        <w:footnoteRef/>
      </w:r>
      <w:r w:rsidRPr="00E05B8B">
        <w:rPr>
          <w:rFonts w:asciiTheme="majorBidi" w:hAnsiTheme="majorBidi" w:cstheme="majorBidi"/>
        </w:rPr>
        <w:t xml:space="preserve"> </w:t>
      </w:r>
      <w:r w:rsidRPr="00E05B8B">
        <w:rPr>
          <w:rFonts w:asciiTheme="majorBidi" w:hAnsiTheme="majorBidi" w:cstheme="majorBidi"/>
        </w:rPr>
        <w:t xml:space="preserve">Mudjita Rahardjo, “Triangulasi dalam Penelitian Kualitatif,” dalam </w:t>
      </w:r>
      <w:hyperlink r:id="rId3" w:history="1">
        <w:r w:rsidRPr="00E05B8B">
          <w:rPr>
            <w:rStyle w:val="Hyperlink"/>
            <w:rFonts w:asciiTheme="majorBidi" w:hAnsiTheme="majorBidi" w:cstheme="majorBidi"/>
            <w:i/>
            <w:iCs/>
            <w:u w:val="none"/>
          </w:rPr>
          <w:t>http://www.uin-malang.ac.id/r/101001/triangulasi-dalam-penelitian-kualitatif.html</w:t>
        </w:r>
      </w:hyperlink>
      <w:r w:rsidRPr="00E05B8B">
        <w:rPr>
          <w:rFonts w:asciiTheme="majorBidi" w:hAnsiTheme="majorBidi" w:cstheme="majorBidi"/>
          <w:i/>
          <w:iCs/>
        </w:rPr>
        <w:t xml:space="preserve">. </w:t>
      </w:r>
      <w:r w:rsidRPr="00E05B8B">
        <w:rPr>
          <w:rFonts w:asciiTheme="majorBidi" w:hAnsiTheme="majorBidi" w:cstheme="majorBidi"/>
        </w:rPr>
        <w:t>Diakses Tanggal 28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74500302"/>
      <w:docPartObj>
        <w:docPartGallery w:val="Page Numbers (Top of Page)"/>
        <w:docPartUnique/>
      </w:docPartObj>
    </w:sdtPr>
    <w:sdtEndPr>
      <w:rPr>
        <w:noProof/>
      </w:rPr>
    </w:sdtEndPr>
    <w:sdtContent>
      <w:p w:rsidR="0008255C" w:rsidRDefault="0008255C">
        <w:pPr>
          <w:pStyle w:val="Header"/>
          <w:jc w:val="right"/>
        </w:pPr>
        <w:r>
          <w:rPr>
            <w:noProof w:val="0"/>
          </w:rPr>
          <w:fldChar w:fldCharType="begin"/>
        </w:r>
        <w:r>
          <w:instrText xml:space="preserve"> PAGE   \* MERGEFORMAT </w:instrText>
        </w:r>
        <w:r>
          <w:rPr>
            <w:noProof w:val="0"/>
          </w:rPr>
          <w:fldChar w:fldCharType="separate"/>
        </w:r>
        <w:r w:rsidR="00367503">
          <w:t>15</w:t>
        </w:r>
        <w:r>
          <w:fldChar w:fldCharType="end"/>
        </w:r>
      </w:p>
    </w:sdtContent>
  </w:sdt>
  <w:p w:rsidR="0008255C" w:rsidRDefault="00082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F2E"/>
    <w:multiLevelType w:val="hybridMultilevel"/>
    <w:tmpl w:val="736800D8"/>
    <w:lvl w:ilvl="0" w:tplc="0421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96F6D"/>
    <w:multiLevelType w:val="hybridMultilevel"/>
    <w:tmpl w:val="B21081D2"/>
    <w:lvl w:ilvl="0" w:tplc="9740D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B5500"/>
    <w:multiLevelType w:val="hybridMultilevel"/>
    <w:tmpl w:val="616AA082"/>
    <w:lvl w:ilvl="0" w:tplc="134463B4">
      <w:start w:val="1"/>
      <w:numFmt w:val="upperLetter"/>
      <w:lvlText w:val="%1."/>
      <w:lvlJc w:val="left"/>
      <w:pPr>
        <w:ind w:left="1080" w:hanging="360"/>
      </w:pPr>
      <w:rPr>
        <w:rFonts w:hint="default"/>
      </w:rPr>
    </w:lvl>
    <w:lvl w:ilvl="1" w:tplc="34842FE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C5ACD"/>
    <w:multiLevelType w:val="hybridMultilevel"/>
    <w:tmpl w:val="5B6A6C18"/>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FC42A95"/>
    <w:multiLevelType w:val="hybridMultilevel"/>
    <w:tmpl w:val="BEA8AD4E"/>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3877BD1"/>
    <w:multiLevelType w:val="hybridMultilevel"/>
    <w:tmpl w:val="6ECC298C"/>
    <w:lvl w:ilvl="0" w:tplc="D5C0E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0D156A"/>
    <w:multiLevelType w:val="hybridMultilevel"/>
    <w:tmpl w:val="8AD24548"/>
    <w:lvl w:ilvl="0" w:tplc="94808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8271A5"/>
    <w:multiLevelType w:val="hybridMultilevel"/>
    <w:tmpl w:val="5E3CC242"/>
    <w:lvl w:ilvl="0" w:tplc="5A42ED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5B623DA"/>
    <w:multiLevelType w:val="hybridMultilevel"/>
    <w:tmpl w:val="18C8F9B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4AAB3F60"/>
    <w:multiLevelType w:val="hybridMultilevel"/>
    <w:tmpl w:val="BBCC292C"/>
    <w:lvl w:ilvl="0" w:tplc="D64CC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D00AE0"/>
    <w:multiLevelType w:val="hybridMultilevel"/>
    <w:tmpl w:val="BF3C1368"/>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51556EA9"/>
    <w:multiLevelType w:val="hybridMultilevel"/>
    <w:tmpl w:val="454624F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56CD3837"/>
    <w:multiLevelType w:val="hybridMultilevel"/>
    <w:tmpl w:val="616AA082"/>
    <w:lvl w:ilvl="0" w:tplc="134463B4">
      <w:start w:val="1"/>
      <w:numFmt w:val="upperLetter"/>
      <w:lvlText w:val="%1."/>
      <w:lvlJc w:val="left"/>
      <w:pPr>
        <w:ind w:left="1080" w:hanging="360"/>
      </w:pPr>
      <w:rPr>
        <w:rFonts w:hint="default"/>
      </w:rPr>
    </w:lvl>
    <w:lvl w:ilvl="1" w:tplc="34842FE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7C2D36"/>
    <w:multiLevelType w:val="hybridMultilevel"/>
    <w:tmpl w:val="F618957C"/>
    <w:lvl w:ilvl="0" w:tplc="D0C4A8EC">
      <w:start w:val="1"/>
      <w:numFmt w:val="decimal"/>
      <w:lvlText w:val="%1."/>
      <w:lvlJc w:val="left"/>
      <w:pPr>
        <w:ind w:left="1804" w:hanging="109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A64417F"/>
    <w:multiLevelType w:val="hybridMultilevel"/>
    <w:tmpl w:val="C68C7076"/>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6B5317B6"/>
    <w:multiLevelType w:val="hybridMultilevel"/>
    <w:tmpl w:val="B8922E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DB432C"/>
    <w:multiLevelType w:val="hybridMultilevel"/>
    <w:tmpl w:val="77345FD8"/>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D9E6390"/>
    <w:multiLevelType w:val="hybridMultilevel"/>
    <w:tmpl w:val="D05AC7BC"/>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2"/>
  </w:num>
  <w:num w:numId="2">
    <w:abstractNumId w:val="4"/>
  </w:num>
  <w:num w:numId="3">
    <w:abstractNumId w:val="14"/>
  </w:num>
  <w:num w:numId="4">
    <w:abstractNumId w:val="17"/>
  </w:num>
  <w:num w:numId="5">
    <w:abstractNumId w:val="10"/>
  </w:num>
  <w:num w:numId="6">
    <w:abstractNumId w:val="16"/>
  </w:num>
  <w:num w:numId="7">
    <w:abstractNumId w:val="3"/>
  </w:num>
  <w:num w:numId="8">
    <w:abstractNumId w:val="6"/>
  </w:num>
  <w:num w:numId="9">
    <w:abstractNumId w:val="11"/>
  </w:num>
  <w:num w:numId="10">
    <w:abstractNumId w:val="7"/>
  </w:num>
  <w:num w:numId="11">
    <w:abstractNumId w:val="5"/>
  </w:num>
  <w:num w:numId="12">
    <w:abstractNumId w:val="1"/>
  </w:num>
  <w:num w:numId="13">
    <w:abstractNumId w:val="9"/>
  </w:num>
  <w:num w:numId="14">
    <w:abstractNumId w:val="0"/>
  </w:num>
  <w:num w:numId="15">
    <w:abstractNumId w:val="2"/>
  </w:num>
  <w:num w:numId="16">
    <w:abstractNumId w:val="8"/>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1A"/>
    <w:rsid w:val="00004F81"/>
    <w:rsid w:val="00006552"/>
    <w:rsid w:val="00022211"/>
    <w:rsid w:val="0003373E"/>
    <w:rsid w:val="0004205B"/>
    <w:rsid w:val="00065533"/>
    <w:rsid w:val="0008255C"/>
    <w:rsid w:val="00085AC0"/>
    <w:rsid w:val="0008784C"/>
    <w:rsid w:val="000A5F20"/>
    <w:rsid w:val="000A74D7"/>
    <w:rsid w:val="000B0340"/>
    <w:rsid w:val="000B1752"/>
    <w:rsid w:val="000B5CEC"/>
    <w:rsid w:val="000B7A38"/>
    <w:rsid w:val="000C1448"/>
    <w:rsid w:val="000F40D4"/>
    <w:rsid w:val="001029D7"/>
    <w:rsid w:val="001105AD"/>
    <w:rsid w:val="00125E1A"/>
    <w:rsid w:val="0014267F"/>
    <w:rsid w:val="001606C8"/>
    <w:rsid w:val="00164A8B"/>
    <w:rsid w:val="00192DBD"/>
    <w:rsid w:val="001B0638"/>
    <w:rsid w:val="001B3492"/>
    <w:rsid w:val="001D1E0E"/>
    <w:rsid w:val="001D3F45"/>
    <w:rsid w:val="001E17FE"/>
    <w:rsid w:val="00225ABF"/>
    <w:rsid w:val="00226A6E"/>
    <w:rsid w:val="00227FC8"/>
    <w:rsid w:val="00256AF7"/>
    <w:rsid w:val="002671EE"/>
    <w:rsid w:val="00267EDF"/>
    <w:rsid w:val="00277AB9"/>
    <w:rsid w:val="002969FB"/>
    <w:rsid w:val="002C4671"/>
    <w:rsid w:val="002C5082"/>
    <w:rsid w:val="002E5A19"/>
    <w:rsid w:val="002E7012"/>
    <w:rsid w:val="002F517E"/>
    <w:rsid w:val="003028DD"/>
    <w:rsid w:val="00307B50"/>
    <w:rsid w:val="00315567"/>
    <w:rsid w:val="003156CD"/>
    <w:rsid w:val="00325549"/>
    <w:rsid w:val="00334B6C"/>
    <w:rsid w:val="0035218F"/>
    <w:rsid w:val="00356EE0"/>
    <w:rsid w:val="0036135C"/>
    <w:rsid w:val="0036712D"/>
    <w:rsid w:val="00367503"/>
    <w:rsid w:val="00371D00"/>
    <w:rsid w:val="00384A51"/>
    <w:rsid w:val="003850D1"/>
    <w:rsid w:val="00386678"/>
    <w:rsid w:val="00386719"/>
    <w:rsid w:val="003A4B3A"/>
    <w:rsid w:val="003B4D00"/>
    <w:rsid w:val="003B53FC"/>
    <w:rsid w:val="003D5265"/>
    <w:rsid w:val="00400D36"/>
    <w:rsid w:val="00424AF9"/>
    <w:rsid w:val="00435F79"/>
    <w:rsid w:val="00437A71"/>
    <w:rsid w:val="00456FB6"/>
    <w:rsid w:val="0047082A"/>
    <w:rsid w:val="00492FBF"/>
    <w:rsid w:val="004B125E"/>
    <w:rsid w:val="004B36A0"/>
    <w:rsid w:val="004C1024"/>
    <w:rsid w:val="004C3608"/>
    <w:rsid w:val="004D2AF1"/>
    <w:rsid w:val="004D50A8"/>
    <w:rsid w:val="004E155B"/>
    <w:rsid w:val="00504758"/>
    <w:rsid w:val="0052673E"/>
    <w:rsid w:val="00544C07"/>
    <w:rsid w:val="005465C8"/>
    <w:rsid w:val="00561C50"/>
    <w:rsid w:val="005646C6"/>
    <w:rsid w:val="005679CA"/>
    <w:rsid w:val="00575C48"/>
    <w:rsid w:val="00584519"/>
    <w:rsid w:val="005B28E5"/>
    <w:rsid w:val="005B43C7"/>
    <w:rsid w:val="005C5059"/>
    <w:rsid w:val="005C7770"/>
    <w:rsid w:val="005D4A59"/>
    <w:rsid w:val="005D4E28"/>
    <w:rsid w:val="005D76E8"/>
    <w:rsid w:val="005E58BB"/>
    <w:rsid w:val="00630358"/>
    <w:rsid w:val="00671917"/>
    <w:rsid w:val="006808B9"/>
    <w:rsid w:val="00686C84"/>
    <w:rsid w:val="006A2616"/>
    <w:rsid w:val="006A648D"/>
    <w:rsid w:val="006F1D87"/>
    <w:rsid w:val="006F4BD9"/>
    <w:rsid w:val="0070080F"/>
    <w:rsid w:val="00701397"/>
    <w:rsid w:val="00712EC4"/>
    <w:rsid w:val="007204F7"/>
    <w:rsid w:val="007245A7"/>
    <w:rsid w:val="00727B40"/>
    <w:rsid w:val="00727C2D"/>
    <w:rsid w:val="00730004"/>
    <w:rsid w:val="00747B50"/>
    <w:rsid w:val="00765ED1"/>
    <w:rsid w:val="00777D29"/>
    <w:rsid w:val="00780E9B"/>
    <w:rsid w:val="007942E7"/>
    <w:rsid w:val="00796903"/>
    <w:rsid w:val="007D605D"/>
    <w:rsid w:val="007E1106"/>
    <w:rsid w:val="008009A7"/>
    <w:rsid w:val="008026EE"/>
    <w:rsid w:val="008327DE"/>
    <w:rsid w:val="00833691"/>
    <w:rsid w:val="00835FD4"/>
    <w:rsid w:val="00840717"/>
    <w:rsid w:val="00841939"/>
    <w:rsid w:val="00850F02"/>
    <w:rsid w:val="00852B0C"/>
    <w:rsid w:val="00862D85"/>
    <w:rsid w:val="00874183"/>
    <w:rsid w:val="00886DE3"/>
    <w:rsid w:val="008A7F3F"/>
    <w:rsid w:val="008E3641"/>
    <w:rsid w:val="008E3D60"/>
    <w:rsid w:val="008F1398"/>
    <w:rsid w:val="008F16B3"/>
    <w:rsid w:val="00920C2C"/>
    <w:rsid w:val="00932DF4"/>
    <w:rsid w:val="00940D6B"/>
    <w:rsid w:val="00945687"/>
    <w:rsid w:val="00950D93"/>
    <w:rsid w:val="00951E9C"/>
    <w:rsid w:val="00974AFE"/>
    <w:rsid w:val="009768A5"/>
    <w:rsid w:val="009B4C41"/>
    <w:rsid w:val="009C01AD"/>
    <w:rsid w:val="009D60EA"/>
    <w:rsid w:val="009E35C5"/>
    <w:rsid w:val="009E44FF"/>
    <w:rsid w:val="009E6A25"/>
    <w:rsid w:val="009E6FB4"/>
    <w:rsid w:val="00A25AEA"/>
    <w:rsid w:val="00A510D9"/>
    <w:rsid w:val="00A5580D"/>
    <w:rsid w:val="00A91CE0"/>
    <w:rsid w:val="00AC2D29"/>
    <w:rsid w:val="00AD3DAD"/>
    <w:rsid w:val="00AD3EC9"/>
    <w:rsid w:val="00AF082A"/>
    <w:rsid w:val="00AF14F4"/>
    <w:rsid w:val="00AF5029"/>
    <w:rsid w:val="00AF6CEB"/>
    <w:rsid w:val="00B05689"/>
    <w:rsid w:val="00B2678B"/>
    <w:rsid w:val="00B50374"/>
    <w:rsid w:val="00B60DA8"/>
    <w:rsid w:val="00B72C4E"/>
    <w:rsid w:val="00B7437F"/>
    <w:rsid w:val="00BA0F4E"/>
    <w:rsid w:val="00BA520A"/>
    <w:rsid w:val="00BB361A"/>
    <w:rsid w:val="00BB6C90"/>
    <w:rsid w:val="00BD3C50"/>
    <w:rsid w:val="00BE2350"/>
    <w:rsid w:val="00BF5085"/>
    <w:rsid w:val="00C043C8"/>
    <w:rsid w:val="00C068CF"/>
    <w:rsid w:val="00C2695F"/>
    <w:rsid w:val="00C30A57"/>
    <w:rsid w:val="00C35E71"/>
    <w:rsid w:val="00C37E66"/>
    <w:rsid w:val="00C663FF"/>
    <w:rsid w:val="00C70691"/>
    <w:rsid w:val="00C971B5"/>
    <w:rsid w:val="00CB0A96"/>
    <w:rsid w:val="00CC10CC"/>
    <w:rsid w:val="00CD58D4"/>
    <w:rsid w:val="00CE6275"/>
    <w:rsid w:val="00CE7D7D"/>
    <w:rsid w:val="00CE7DFD"/>
    <w:rsid w:val="00D016D9"/>
    <w:rsid w:val="00D020AA"/>
    <w:rsid w:val="00D172E0"/>
    <w:rsid w:val="00D30F1D"/>
    <w:rsid w:val="00D31D76"/>
    <w:rsid w:val="00D47B42"/>
    <w:rsid w:val="00D66523"/>
    <w:rsid w:val="00D73E6F"/>
    <w:rsid w:val="00D75768"/>
    <w:rsid w:val="00D80178"/>
    <w:rsid w:val="00D93BEF"/>
    <w:rsid w:val="00DA3E15"/>
    <w:rsid w:val="00DA4EE7"/>
    <w:rsid w:val="00DA5889"/>
    <w:rsid w:val="00DC6581"/>
    <w:rsid w:val="00DF304F"/>
    <w:rsid w:val="00E02C06"/>
    <w:rsid w:val="00E05B8B"/>
    <w:rsid w:val="00E05E81"/>
    <w:rsid w:val="00E0654B"/>
    <w:rsid w:val="00E33966"/>
    <w:rsid w:val="00E47C92"/>
    <w:rsid w:val="00E52B1C"/>
    <w:rsid w:val="00E56774"/>
    <w:rsid w:val="00E60D17"/>
    <w:rsid w:val="00E7158B"/>
    <w:rsid w:val="00E7707C"/>
    <w:rsid w:val="00E7790B"/>
    <w:rsid w:val="00E91B64"/>
    <w:rsid w:val="00F16604"/>
    <w:rsid w:val="00F37C9E"/>
    <w:rsid w:val="00F4763F"/>
    <w:rsid w:val="00F47945"/>
    <w:rsid w:val="00F62274"/>
    <w:rsid w:val="00F84DCF"/>
    <w:rsid w:val="00F85E8F"/>
    <w:rsid w:val="00F973AF"/>
    <w:rsid w:val="00FB2DC1"/>
    <w:rsid w:val="00FC238F"/>
    <w:rsid w:val="00FD1B58"/>
    <w:rsid w:val="00FD3BE7"/>
    <w:rsid w:val="00FD4952"/>
    <w:rsid w:val="00FF2C3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1A"/>
    <w:pPr>
      <w:spacing w:after="0" w:line="240" w:lineRule="auto"/>
    </w:pPr>
    <w:rPr>
      <w:rFonts w:ascii="Garamond" w:eastAsia="Times New Roman" w:hAnsi="Garamond"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1A"/>
    <w:pPr>
      <w:ind w:left="720"/>
    </w:pPr>
  </w:style>
  <w:style w:type="paragraph" w:styleId="Title">
    <w:name w:val="Title"/>
    <w:basedOn w:val="Normal"/>
    <w:link w:val="TitleChar"/>
    <w:qFormat/>
    <w:rsid w:val="00D75768"/>
    <w:pPr>
      <w:jc w:val="center"/>
    </w:pPr>
    <w:rPr>
      <w:rFonts w:ascii="Times New Roman" w:hAnsi="Times New Roman"/>
    </w:rPr>
  </w:style>
  <w:style w:type="character" w:customStyle="1" w:styleId="TitleChar">
    <w:name w:val="Title Char"/>
    <w:basedOn w:val="DefaultParagraphFont"/>
    <w:link w:val="Title"/>
    <w:rsid w:val="00D75768"/>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701397"/>
    <w:rPr>
      <w:color w:val="0000FF"/>
      <w:u w:val="single"/>
    </w:rPr>
  </w:style>
  <w:style w:type="paragraph" w:styleId="FootnoteText">
    <w:name w:val="footnote text"/>
    <w:basedOn w:val="Normal"/>
    <w:link w:val="FootnoteTextChar"/>
    <w:unhideWhenUsed/>
    <w:rsid w:val="00BF5085"/>
    <w:rPr>
      <w:sz w:val="20"/>
      <w:szCs w:val="20"/>
    </w:rPr>
  </w:style>
  <w:style w:type="character" w:customStyle="1" w:styleId="FootnoteTextChar">
    <w:name w:val="Footnote Text Char"/>
    <w:basedOn w:val="DefaultParagraphFont"/>
    <w:link w:val="FootnoteText"/>
    <w:uiPriority w:val="99"/>
    <w:rsid w:val="00BF5085"/>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BF5085"/>
    <w:rPr>
      <w:vertAlign w:val="superscript"/>
    </w:rPr>
  </w:style>
  <w:style w:type="character" w:customStyle="1" w:styleId="st">
    <w:name w:val="st"/>
    <w:basedOn w:val="DefaultParagraphFont"/>
    <w:rsid w:val="00BA520A"/>
  </w:style>
  <w:style w:type="paragraph" w:styleId="BodyTextIndent">
    <w:name w:val="Body Text Indent"/>
    <w:basedOn w:val="Normal"/>
    <w:link w:val="BodyTextIndentChar"/>
    <w:rsid w:val="00E0654B"/>
    <w:pPr>
      <w:spacing w:line="480" w:lineRule="auto"/>
      <w:ind w:left="567" w:hanging="283"/>
      <w:jc w:val="both"/>
    </w:pPr>
    <w:rPr>
      <w:rFonts w:ascii="Times New Roman" w:hAnsi="Times New Roman"/>
      <w:noProof w:val="0"/>
    </w:rPr>
  </w:style>
  <w:style w:type="character" w:customStyle="1" w:styleId="BodyTextIndentChar">
    <w:name w:val="Body Text Indent Char"/>
    <w:basedOn w:val="DefaultParagraphFont"/>
    <w:link w:val="BodyTextIndent"/>
    <w:rsid w:val="00E0654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255C"/>
    <w:pPr>
      <w:tabs>
        <w:tab w:val="center" w:pos="4153"/>
        <w:tab w:val="right" w:pos="8306"/>
      </w:tabs>
    </w:pPr>
  </w:style>
  <w:style w:type="character" w:customStyle="1" w:styleId="HeaderChar">
    <w:name w:val="Header Char"/>
    <w:basedOn w:val="DefaultParagraphFont"/>
    <w:link w:val="Header"/>
    <w:uiPriority w:val="99"/>
    <w:rsid w:val="0008255C"/>
    <w:rPr>
      <w:rFonts w:ascii="Garamond" w:eastAsia="Times New Roman" w:hAnsi="Garamond" w:cs="Times New Roman"/>
      <w:noProof/>
      <w:sz w:val="24"/>
      <w:szCs w:val="24"/>
    </w:rPr>
  </w:style>
  <w:style w:type="paragraph" w:styleId="Footer">
    <w:name w:val="footer"/>
    <w:basedOn w:val="Normal"/>
    <w:link w:val="FooterChar"/>
    <w:uiPriority w:val="99"/>
    <w:unhideWhenUsed/>
    <w:rsid w:val="0008255C"/>
    <w:pPr>
      <w:tabs>
        <w:tab w:val="center" w:pos="4153"/>
        <w:tab w:val="right" w:pos="8306"/>
      </w:tabs>
    </w:pPr>
  </w:style>
  <w:style w:type="character" w:customStyle="1" w:styleId="FooterChar">
    <w:name w:val="Footer Char"/>
    <w:basedOn w:val="DefaultParagraphFont"/>
    <w:link w:val="Footer"/>
    <w:uiPriority w:val="99"/>
    <w:rsid w:val="0008255C"/>
    <w:rPr>
      <w:rFonts w:ascii="Garamond" w:eastAsia="Times New Roman" w:hAnsi="Garamond" w:cs="Times New Roman"/>
      <w:noProof/>
      <w:sz w:val="24"/>
      <w:szCs w:val="24"/>
    </w:rPr>
  </w:style>
  <w:style w:type="paragraph" w:styleId="BalloonText">
    <w:name w:val="Balloon Text"/>
    <w:basedOn w:val="Normal"/>
    <w:link w:val="BalloonTextChar"/>
    <w:uiPriority w:val="99"/>
    <w:semiHidden/>
    <w:unhideWhenUsed/>
    <w:rsid w:val="00671917"/>
    <w:rPr>
      <w:rFonts w:ascii="Tahoma" w:hAnsi="Tahoma" w:cs="Tahoma"/>
      <w:sz w:val="16"/>
      <w:szCs w:val="16"/>
    </w:rPr>
  </w:style>
  <w:style w:type="character" w:customStyle="1" w:styleId="BalloonTextChar">
    <w:name w:val="Balloon Text Char"/>
    <w:basedOn w:val="DefaultParagraphFont"/>
    <w:link w:val="BalloonText"/>
    <w:uiPriority w:val="99"/>
    <w:semiHidden/>
    <w:rsid w:val="00671917"/>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1A"/>
    <w:pPr>
      <w:spacing w:after="0" w:line="240" w:lineRule="auto"/>
    </w:pPr>
    <w:rPr>
      <w:rFonts w:ascii="Garamond" w:eastAsia="Times New Roman" w:hAnsi="Garamond"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1A"/>
    <w:pPr>
      <w:ind w:left="720"/>
    </w:pPr>
  </w:style>
  <w:style w:type="paragraph" w:styleId="Title">
    <w:name w:val="Title"/>
    <w:basedOn w:val="Normal"/>
    <w:link w:val="TitleChar"/>
    <w:qFormat/>
    <w:rsid w:val="00D75768"/>
    <w:pPr>
      <w:jc w:val="center"/>
    </w:pPr>
    <w:rPr>
      <w:rFonts w:ascii="Times New Roman" w:hAnsi="Times New Roman"/>
    </w:rPr>
  </w:style>
  <w:style w:type="character" w:customStyle="1" w:styleId="TitleChar">
    <w:name w:val="Title Char"/>
    <w:basedOn w:val="DefaultParagraphFont"/>
    <w:link w:val="Title"/>
    <w:rsid w:val="00D75768"/>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701397"/>
    <w:rPr>
      <w:color w:val="0000FF"/>
      <w:u w:val="single"/>
    </w:rPr>
  </w:style>
  <w:style w:type="paragraph" w:styleId="FootnoteText">
    <w:name w:val="footnote text"/>
    <w:basedOn w:val="Normal"/>
    <w:link w:val="FootnoteTextChar"/>
    <w:unhideWhenUsed/>
    <w:rsid w:val="00BF5085"/>
    <w:rPr>
      <w:sz w:val="20"/>
      <w:szCs w:val="20"/>
    </w:rPr>
  </w:style>
  <w:style w:type="character" w:customStyle="1" w:styleId="FootnoteTextChar">
    <w:name w:val="Footnote Text Char"/>
    <w:basedOn w:val="DefaultParagraphFont"/>
    <w:link w:val="FootnoteText"/>
    <w:uiPriority w:val="99"/>
    <w:rsid w:val="00BF5085"/>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BF5085"/>
    <w:rPr>
      <w:vertAlign w:val="superscript"/>
    </w:rPr>
  </w:style>
  <w:style w:type="character" w:customStyle="1" w:styleId="st">
    <w:name w:val="st"/>
    <w:basedOn w:val="DefaultParagraphFont"/>
    <w:rsid w:val="00BA520A"/>
  </w:style>
  <w:style w:type="paragraph" w:styleId="BodyTextIndent">
    <w:name w:val="Body Text Indent"/>
    <w:basedOn w:val="Normal"/>
    <w:link w:val="BodyTextIndentChar"/>
    <w:rsid w:val="00E0654B"/>
    <w:pPr>
      <w:spacing w:line="480" w:lineRule="auto"/>
      <w:ind w:left="567" w:hanging="283"/>
      <w:jc w:val="both"/>
    </w:pPr>
    <w:rPr>
      <w:rFonts w:ascii="Times New Roman" w:hAnsi="Times New Roman"/>
      <w:noProof w:val="0"/>
    </w:rPr>
  </w:style>
  <w:style w:type="character" w:customStyle="1" w:styleId="BodyTextIndentChar">
    <w:name w:val="Body Text Indent Char"/>
    <w:basedOn w:val="DefaultParagraphFont"/>
    <w:link w:val="BodyTextIndent"/>
    <w:rsid w:val="00E0654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255C"/>
    <w:pPr>
      <w:tabs>
        <w:tab w:val="center" w:pos="4153"/>
        <w:tab w:val="right" w:pos="8306"/>
      </w:tabs>
    </w:pPr>
  </w:style>
  <w:style w:type="character" w:customStyle="1" w:styleId="HeaderChar">
    <w:name w:val="Header Char"/>
    <w:basedOn w:val="DefaultParagraphFont"/>
    <w:link w:val="Header"/>
    <w:uiPriority w:val="99"/>
    <w:rsid w:val="0008255C"/>
    <w:rPr>
      <w:rFonts w:ascii="Garamond" w:eastAsia="Times New Roman" w:hAnsi="Garamond" w:cs="Times New Roman"/>
      <w:noProof/>
      <w:sz w:val="24"/>
      <w:szCs w:val="24"/>
    </w:rPr>
  </w:style>
  <w:style w:type="paragraph" w:styleId="Footer">
    <w:name w:val="footer"/>
    <w:basedOn w:val="Normal"/>
    <w:link w:val="FooterChar"/>
    <w:uiPriority w:val="99"/>
    <w:unhideWhenUsed/>
    <w:rsid w:val="0008255C"/>
    <w:pPr>
      <w:tabs>
        <w:tab w:val="center" w:pos="4153"/>
        <w:tab w:val="right" w:pos="8306"/>
      </w:tabs>
    </w:pPr>
  </w:style>
  <w:style w:type="character" w:customStyle="1" w:styleId="FooterChar">
    <w:name w:val="Footer Char"/>
    <w:basedOn w:val="DefaultParagraphFont"/>
    <w:link w:val="Footer"/>
    <w:uiPriority w:val="99"/>
    <w:rsid w:val="0008255C"/>
    <w:rPr>
      <w:rFonts w:ascii="Garamond" w:eastAsia="Times New Roman" w:hAnsi="Garamond" w:cs="Times New Roman"/>
      <w:noProof/>
      <w:sz w:val="24"/>
      <w:szCs w:val="24"/>
    </w:rPr>
  </w:style>
  <w:style w:type="paragraph" w:styleId="BalloonText">
    <w:name w:val="Balloon Text"/>
    <w:basedOn w:val="Normal"/>
    <w:link w:val="BalloonTextChar"/>
    <w:uiPriority w:val="99"/>
    <w:semiHidden/>
    <w:unhideWhenUsed/>
    <w:rsid w:val="00671917"/>
    <w:rPr>
      <w:rFonts w:ascii="Tahoma" w:hAnsi="Tahoma" w:cs="Tahoma"/>
      <w:sz w:val="16"/>
      <w:szCs w:val="16"/>
    </w:rPr>
  </w:style>
  <w:style w:type="character" w:customStyle="1" w:styleId="BalloonTextChar">
    <w:name w:val="Balloon Text Char"/>
    <w:basedOn w:val="DefaultParagraphFont"/>
    <w:link w:val="BalloonText"/>
    <w:uiPriority w:val="99"/>
    <w:semiHidden/>
    <w:rsid w:val="00671917"/>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09941">
      <w:bodyDiv w:val="1"/>
      <w:marLeft w:val="0"/>
      <w:marRight w:val="0"/>
      <w:marTop w:val="0"/>
      <w:marBottom w:val="0"/>
      <w:divBdr>
        <w:top w:val="none" w:sz="0" w:space="0" w:color="auto"/>
        <w:left w:val="none" w:sz="0" w:space="0" w:color="auto"/>
        <w:bottom w:val="none" w:sz="0" w:space="0" w:color="auto"/>
        <w:right w:val="none" w:sz="0" w:space="0" w:color="auto"/>
      </w:divBdr>
      <w:divsChild>
        <w:div w:id="1017270521">
          <w:marLeft w:val="1211"/>
          <w:marRight w:val="0"/>
          <w:marTop w:val="0"/>
          <w:marBottom w:val="0"/>
          <w:divBdr>
            <w:top w:val="none" w:sz="0" w:space="0" w:color="auto"/>
            <w:left w:val="none" w:sz="0" w:space="0" w:color="auto"/>
            <w:bottom w:val="none" w:sz="0" w:space="0" w:color="auto"/>
            <w:right w:val="none" w:sz="0" w:space="0" w:color="auto"/>
          </w:divBdr>
        </w:div>
        <w:div w:id="2126999782">
          <w:marLeft w:val="1571"/>
          <w:marRight w:val="0"/>
          <w:marTop w:val="0"/>
          <w:marBottom w:val="0"/>
          <w:divBdr>
            <w:top w:val="none" w:sz="0" w:space="0" w:color="auto"/>
            <w:left w:val="none" w:sz="0" w:space="0" w:color="auto"/>
            <w:bottom w:val="none" w:sz="0" w:space="0" w:color="auto"/>
            <w:right w:val="none" w:sz="0" w:space="0" w:color="auto"/>
          </w:divBdr>
        </w:div>
        <w:div w:id="1397556649">
          <w:marLeft w:val="15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Jacques_Derrid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Sejarah" TargetMode="External"/><Relationship Id="rId17" Type="http://schemas.openxmlformats.org/officeDocument/2006/relationships/hyperlink" Target="https://id.wikipedia.org/wiki/Teks" TargetMode="External"/><Relationship Id="rId2" Type="http://schemas.openxmlformats.org/officeDocument/2006/relationships/numbering" Target="numbering.xml"/><Relationship Id="rId16" Type="http://schemas.openxmlformats.org/officeDocument/2006/relationships/hyperlink" Target="https://id.wikipedia.org/wiki/Metafisi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ndex.php?title=Trace&amp;action=edit&amp;redlink=1" TargetMode="External"/><Relationship Id="rId5" Type="http://schemas.openxmlformats.org/officeDocument/2006/relationships/settings" Target="settings.xml"/><Relationship Id="rId15" Type="http://schemas.openxmlformats.org/officeDocument/2006/relationships/hyperlink" Target="https://id.wikipedia.org/w/index.php?title=Logosentrisme&amp;action=edit&amp;redlink=1" TargetMode="External"/><Relationship Id="rId10" Type="http://schemas.openxmlformats.org/officeDocument/2006/relationships/hyperlink" Target="https://id.wikipedia.org/wiki/Tek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d.wikipedia.org/wiki/Teks" TargetMode="External"/><Relationship Id="rId14" Type="http://schemas.openxmlformats.org/officeDocument/2006/relationships/hyperlink" Target="https://id.wikipedia.org/wiki/Tek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in-malang.ac.id/r/101001/triangulasi-dalam-penelitian-kualitatif.html" TargetMode="External"/><Relationship Id="rId2" Type="http://schemas.openxmlformats.org/officeDocument/2006/relationships/hyperlink" Target="http://rendiasyah.blogspot.co.id/2013/05/teori-dekonstruksi.html" TargetMode="External"/><Relationship Id="rId1" Type="http://schemas.openxmlformats.org/officeDocument/2006/relationships/hyperlink" Target="https://id.wikipedia.org/wiki/Dekonstr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30B0-D2E9-4041-AFAD-8F295559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17</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2015</dc:creator>
  <cp:lastModifiedBy>jamal 2015</cp:lastModifiedBy>
  <cp:revision>74</cp:revision>
  <cp:lastPrinted>2016-02-14T04:17:00Z</cp:lastPrinted>
  <dcterms:created xsi:type="dcterms:W3CDTF">2016-01-27T20:38:00Z</dcterms:created>
  <dcterms:modified xsi:type="dcterms:W3CDTF">2016-08-22T20:18:00Z</dcterms:modified>
</cp:coreProperties>
</file>