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E" w:rsidRPr="00F6156E" w:rsidRDefault="00F6156E" w:rsidP="00F6156E">
      <w:pPr>
        <w:pStyle w:val="FootnoteText"/>
        <w:ind w:left="567" w:hanging="567"/>
        <w:jc w:val="center"/>
        <w:rPr>
          <w:b/>
          <w:color w:val="000000"/>
          <w:sz w:val="24"/>
          <w:szCs w:val="24"/>
        </w:rPr>
      </w:pPr>
      <w:r w:rsidRPr="00F6156E">
        <w:rPr>
          <w:b/>
          <w:color w:val="000000"/>
          <w:sz w:val="24"/>
          <w:szCs w:val="24"/>
        </w:rPr>
        <w:t>DAFTAR PUSTAKA</w:t>
      </w:r>
      <w:bookmarkStart w:id="0" w:name="_GoBack"/>
      <w:bookmarkEnd w:id="0"/>
    </w:p>
    <w:p w:rsidR="00F6156E" w:rsidRDefault="00F6156E" w:rsidP="00F6156E">
      <w:pPr>
        <w:pStyle w:val="FootnoteText"/>
        <w:ind w:left="567" w:hanging="567"/>
        <w:jc w:val="both"/>
        <w:rPr>
          <w:color w:val="000000"/>
          <w:sz w:val="24"/>
          <w:szCs w:val="24"/>
        </w:rPr>
      </w:pPr>
    </w:p>
    <w:p w:rsidR="00F6156E" w:rsidRDefault="00F6156E" w:rsidP="00F6156E">
      <w:pPr>
        <w:pStyle w:val="FootnoteText"/>
        <w:ind w:left="567" w:hanging="567"/>
        <w:jc w:val="both"/>
        <w:rPr>
          <w:color w:val="000000"/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  <w:r w:rsidRPr="00F6156E">
        <w:rPr>
          <w:sz w:val="24"/>
          <w:szCs w:val="24"/>
        </w:rPr>
        <w:t xml:space="preserve"> Abdul Aziz Abdal Rauf, </w:t>
      </w:r>
      <w:r w:rsidRPr="00F6156E">
        <w:rPr>
          <w:i/>
          <w:sz w:val="24"/>
          <w:szCs w:val="24"/>
        </w:rPr>
        <w:t>Kiat Sukses Menjadi Hafidz Qur’an Da’iyah</w:t>
      </w:r>
      <w:r w:rsidRPr="00F6156E">
        <w:rPr>
          <w:sz w:val="24"/>
          <w:szCs w:val="24"/>
        </w:rPr>
        <w:t xml:space="preserve">, Bandung : Asy Syaamil Press &amp; Grafika, 2000 </w:t>
      </w:r>
    </w:p>
    <w:p w:rsid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  <w:r w:rsidRPr="00F6156E">
        <w:rPr>
          <w:sz w:val="24"/>
          <w:szCs w:val="24"/>
        </w:rPr>
        <w:t xml:space="preserve">Abdul Bina A, </w:t>
      </w:r>
      <w:r w:rsidRPr="00F6156E">
        <w:rPr>
          <w:i/>
          <w:sz w:val="24"/>
          <w:szCs w:val="24"/>
        </w:rPr>
        <w:t>Mudah dan Cepat Menghafal Surat-Surat Pilihan</w:t>
      </w:r>
      <w:r w:rsidRPr="00F6156E">
        <w:rPr>
          <w:sz w:val="24"/>
          <w:szCs w:val="24"/>
        </w:rPr>
        <w:t xml:space="preserve">, Surakarta : Shahih, 2011. </w:t>
      </w:r>
    </w:p>
    <w:p w:rsid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  <w:r w:rsidRPr="00F6156E">
        <w:rPr>
          <w:sz w:val="24"/>
          <w:szCs w:val="24"/>
        </w:rPr>
        <w:t xml:space="preserve">Abdurrab Nawabuddin, </w:t>
      </w:r>
      <w:r w:rsidRPr="00F6156E">
        <w:rPr>
          <w:i/>
          <w:sz w:val="24"/>
          <w:szCs w:val="24"/>
        </w:rPr>
        <w:t>Teknik Menghafal Al-Qur’an</w:t>
      </w:r>
      <w:r w:rsidRPr="00F6156E">
        <w:rPr>
          <w:sz w:val="24"/>
          <w:szCs w:val="24"/>
        </w:rPr>
        <w:t>, terj. Bambang Syaiful Ma’arif, Bandung: Sinar Baru Algesindo, 2005</w:t>
      </w:r>
    </w:p>
    <w:p w:rsid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  <w:r w:rsidRPr="00F6156E">
        <w:rPr>
          <w:sz w:val="24"/>
          <w:szCs w:val="24"/>
        </w:rPr>
        <w:t xml:space="preserve">Ahmad Salim Badilan, </w:t>
      </w:r>
      <w:r w:rsidRPr="00F6156E">
        <w:rPr>
          <w:i/>
          <w:sz w:val="24"/>
          <w:szCs w:val="24"/>
        </w:rPr>
        <w:t>Panduan Cepat Menghafal Al-Qur’an</w:t>
      </w:r>
      <w:r w:rsidRPr="00F6156E">
        <w:rPr>
          <w:sz w:val="24"/>
          <w:szCs w:val="24"/>
        </w:rPr>
        <w:t>, Yogyakarta : Diva Press, 2011.</w:t>
      </w:r>
    </w:p>
    <w:p w:rsid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  <w:r w:rsidRPr="00F6156E">
        <w:rPr>
          <w:sz w:val="24"/>
          <w:szCs w:val="24"/>
        </w:rPr>
        <w:t xml:space="preserve">Anita Moultrie Turner, </w:t>
      </w:r>
      <w:r w:rsidRPr="00F6156E">
        <w:rPr>
          <w:i/>
          <w:sz w:val="24"/>
          <w:szCs w:val="24"/>
        </w:rPr>
        <w:t>Resep Pengajaran Hebat,</w:t>
      </w:r>
      <w:r w:rsidRPr="00F6156E">
        <w:rPr>
          <w:sz w:val="24"/>
          <w:szCs w:val="24"/>
        </w:rPr>
        <w:t xml:space="preserve"> Jakarta: PT Indeks, 2008. </w:t>
      </w:r>
    </w:p>
    <w:p w:rsid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  <w:r w:rsidRPr="00F6156E">
        <w:rPr>
          <w:sz w:val="24"/>
          <w:szCs w:val="24"/>
        </w:rPr>
        <w:t xml:space="preserve">Anjad Qasim, </w:t>
      </w:r>
      <w:r w:rsidRPr="00F6156E">
        <w:rPr>
          <w:i/>
          <w:sz w:val="24"/>
          <w:szCs w:val="24"/>
        </w:rPr>
        <w:t>Sebulan Hafal Al-Qur’an,</w:t>
      </w:r>
      <w:r w:rsidRPr="00F6156E">
        <w:rPr>
          <w:sz w:val="24"/>
          <w:szCs w:val="24"/>
        </w:rPr>
        <w:t xml:space="preserve"> terj. Abu Fawwaz Munandar, Solo: Zamzam, 2012. </w:t>
      </w:r>
    </w:p>
    <w:p w:rsid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  <w:r w:rsidRPr="00F6156E">
        <w:rPr>
          <w:sz w:val="24"/>
          <w:szCs w:val="24"/>
        </w:rPr>
        <w:t xml:space="preserve">Badri Khaeruman, </w:t>
      </w:r>
      <w:r w:rsidRPr="00F6156E">
        <w:rPr>
          <w:i/>
          <w:sz w:val="24"/>
          <w:szCs w:val="24"/>
        </w:rPr>
        <w:t>Menjadi Guru Profesional</w:t>
      </w:r>
      <w:r w:rsidRPr="00F6156E">
        <w:rPr>
          <w:sz w:val="24"/>
          <w:szCs w:val="24"/>
        </w:rPr>
        <w:t xml:space="preserve">, Bandung: CV. Afrindo Raya, 2011, </w:t>
      </w:r>
    </w:p>
    <w:p w:rsid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  <w:r w:rsidRPr="00F6156E">
        <w:rPr>
          <w:sz w:val="24"/>
          <w:szCs w:val="24"/>
        </w:rPr>
        <w:t xml:space="preserve">Baharudin, </w:t>
      </w:r>
      <w:r w:rsidRPr="00F6156E">
        <w:rPr>
          <w:i/>
          <w:sz w:val="24"/>
          <w:szCs w:val="24"/>
        </w:rPr>
        <w:t>Paradigma Psikologi Islam</w:t>
      </w:r>
      <w:r w:rsidRPr="00F6156E">
        <w:rPr>
          <w:sz w:val="24"/>
          <w:szCs w:val="24"/>
        </w:rPr>
        <w:t xml:space="preserve">, Yogyakarta: Pustaka Pelajar, 2007. </w:t>
      </w:r>
    </w:p>
    <w:p w:rsidR="00F6156E" w:rsidRDefault="00F6156E" w:rsidP="00F6156E">
      <w:pPr>
        <w:pStyle w:val="FootnoteText"/>
        <w:ind w:left="567" w:hanging="567"/>
        <w:rPr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rPr>
          <w:rStyle w:val="FootnoteReference"/>
          <w:sz w:val="24"/>
          <w:szCs w:val="24"/>
        </w:rPr>
      </w:pPr>
      <w:r w:rsidRPr="00F6156E">
        <w:rPr>
          <w:sz w:val="24"/>
          <w:szCs w:val="24"/>
        </w:rPr>
        <w:t>Dokumentasi FTIK IAIN Purwokerto</w:t>
      </w:r>
    </w:p>
    <w:p w:rsidR="00F6156E" w:rsidRDefault="00F6156E" w:rsidP="00F6156E">
      <w:pPr>
        <w:spacing w:after="0" w:line="240" w:lineRule="auto"/>
        <w:ind w:left="567" w:hanging="567"/>
        <w:rPr>
          <w:szCs w:val="24"/>
        </w:rPr>
      </w:pPr>
    </w:p>
    <w:p w:rsidR="00F6156E" w:rsidRPr="00F6156E" w:rsidRDefault="00F6156E" w:rsidP="00F6156E">
      <w:pPr>
        <w:spacing w:after="0" w:line="240" w:lineRule="auto"/>
        <w:ind w:left="567" w:hanging="567"/>
        <w:rPr>
          <w:szCs w:val="24"/>
        </w:rPr>
      </w:pPr>
      <w:proofErr w:type="spellStart"/>
      <w:r w:rsidRPr="00F6156E">
        <w:rPr>
          <w:szCs w:val="24"/>
        </w:rPr>
        <w:t>Dokumentasi</w:t>
      </w:r>
      <w:proofErr w:type="spellEnd"/>
      <w:r w:rsidRPr="00F6156E">
        <w:rPr>
          <w:szCs w:val="24"/>
        </w:rPr>
        <w:t xml:space="preserve"> </w:t>
      </w:r>
      <w:proofErr w:type="spellStart"/>
      <w:r w:rsidRPr="00F6156E">
        <w:rPr>
          <w:szCs w:val="24"/>
        </w:rPr>
        <w:t>Ma’had</w:t>
      </w:r>
      <w:proofErr w:type="spellEnd"/>
      <w:r w:rsidRPr="00F6156E">
        <w:rPr>
          <w:szCs w:val="24"/>
        </w:rPr>
        <w:t xml:space="preserve"> Al-</w:t>
      </w:r>
      <w:proofErr w:type="spellStart"/>
      <w:r w:rsidRPr="00F6156E">
        <w:rPr>
          <w:szCs w:val="24"/>
        </w:rPr>
        <w:t>Jamiah</w:t>
      </w:r>
      <w:proofErr w:type="spellEnd"/>
      <w:proofErr w:type="gramStart"/>
      <w:r w:rsidRPr="00F6156E">
        <w:rPr>
          <w:szCs w:val="24"/>
        </w:rPr>
        <w:t xml:space="preserve">,  </w:t>
      </w:r>
      <w:proofErr w:type="spellStart"/>
      <w:r w:rsidRPr="00F6156E">
        <w:rPr>
          <w:szCs w:val="24"/>
        </w:rPr>
        <w:t>dikutip</w:t>
      </w:r>
      <w:proofErr w:type="spellEnd"/>
      <w:proofErr w:type="gramEnd"/>
      <w:r w:rsidRPr="00F6156E">
        <w:rPr>
          <w:szCs w:val="24"/>
        </w:rPr>
        <w:t xml:space="preserve"> </w:t>
      </w:r>
      <w:proofErr w:type="spellStart"/>
      <w:r w:rsidRPr="00F6156E">
        <w:rPr>
          <w:szCs w:val="24"/>
        </w:rPr>
        <w:t>tanggal</w:t>
      </w:r>
      <w:proofErr w:type="spellEnd"/>
      <w:r w:rsidRPr="00F6156E">
        <w:rPr>
          <w:szCs w:val="24"/>
        </w:rPr>
        <w:t xml:space="preserve"> 2 </w:t>
      </w:r>
      <w:proofErr w:type="spellStart"/>
      <w:r w:rsidRPr="00F6156E">
        <w:rPr>
          <w:szCs w:val="24"/>
        </w:rPr>
        <w:t>Agustus</w:t>
      </w:r>
      <w:proofErr w:type="spellEnd"/>
      <w:r w:rsidRPr="00F6156E">
        <w:rPr>
          <w:szCs w:val="24"/>
        </w:rPr>
        <w:t xml:space="preserve"> 2016.</w:t>
      </w:r>
    </w:p>
    <w:p w:rsid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  <w:r w:rsidRPr="00F6156E">
        <w:rPr>
          <w:sz w:val="24"/>
          <w:szCs w:val="24"/>
        </w:rPr>
        <w:t xml:space="preserve">Evelin Siregar dan Hartini Nara, Bogor: Ghalia Indonesia, 2011. </w:t>
      </w:r>
    </w:p>
    <w:p w:rsid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  <w:r w:rsidRPr="00F6156E">
        <w:rPr>
          <w:sz w:val="24"/>
          <w:szCs w:val="24"/>
        </w:rPr>
        <w:t xml:space="preserve">Hamruni, </w:t>
      </w:r>
      <w:r w:rsidRPr="00F6156E">
        <w:rPr>
          <w:i/>
          <w:sz w:val="24"/>
          <w:szCs w:val="24"/>
        </w:rPr>
        <w:t>Strategi Pembelajaran</w:t>
      </w:r>
      <w:r w:rsidRPr="00F6156E">
        <w:rPr>
          <w:sz w:val="24"/>
          <w:szCs w:val="24"/>
        </w:rPr>
        <w:t xml:space="preserve">, Yogyakarta: Insan Madani, 2012 </w:t>
      </w:r>
    </w:p>
    <w:p w:rsid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  <w:r w:rsidRPr="00F6156E">
        <w:rPr>
          <w:sz w:val="24"/>
          <w:szCs w:val="24"/>
        </w:rPr>
        <w:t xml:space="preserve">Hamzah, </w:t>
      </w:r>
      <w:r w:rsidRPr="00F6156E">
        <w:rPr>
          <w:i/>
          <w:sz w:val="24"/>
          <w:szCs w:val="24"/>
        </w:rPr>
        <w:t>Orientasi Baru dalam Psikologi Pembelajaran</w:t>
      </w:r>
      <w:r w:rsidRPr="00F6156E">
        <w:rPr>
          <w:sz w:val="24"/>
          <w:szCs w:val="24"/>
        </w:rPr>
        <w:t xml:space="preserve">, Jakarta: PT Bumi Aksara, 2006. </w:t>
      </w:r>
    </w:p>
    <w:p w:rsid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  <w:r w:rsidRPr="00F6156E">
        <w:rPr>
          <w:sz w:val="24"/>
          <w:szCs w:val="24"/>
        </w:rPr>
        <w:t xml:space="preserve">Hasan Langgulung, </w:t>
      </w:r>
      <w:r w:rsidRPr="00F6156E">
        <w:rPr>
          <w:i/>
          <w:sz w:val="24"/>
          <w:szCs w:val="24"/>
        </w:rPr>
        <w:t>Manusia dan Pendidikan</w:t>
      </w:r>
      <w:r w:rsidRPr="00F6156E">
        <w:rPr>
          <w:sz w:val="24"/>
          <w:szCs w:val="24"/>
        </w:rPr>
        <w:t>, Jakarta: PT Al-Husna Zikri, 1995</w:t>
      </w:r>
    </w:p>
    <w:p w:rsidR="00F6156E" w:rsidRDefault="00F6156E" w:rsidP="00F6156E">
      <w:pPr>
        <w:pStyle w:val="FootnoteText"/>
        <w:ind w:left="567" w:hanging="567"/>
        <w:jc w:val="both"/>
        <w:rPr>
          <w:color w:val="000000"/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  <w:r w:rsidRPr="00F6156E">
        <w:rPr>
          <w:color w:val="000000"/>
          <w:sz w:val="24"/>
          <w:szCs w:val="24"/>
        </w:rPr>
        <w:t xml:space="preserve">HB. Sutopo, </w:t>
      </w:r>
      <w:r w:rsidRPr="00F6156E">
        <w:rPr>
          <w:i/>
          <w:iCs/>
          <w:color w:val="000000"/>
          <w:sz w:val="24"/>
          <w:szCs w:val="24"/>
        </w:rPr>
        <w:t xml:space="preserve">Pengumpulan Dalam Pengelolaan Data Dalam Penelitian Kualitati </w:t>
      </w:r>
      <w:r w:rsidRPr="00F6156E">
        <w:rPr>
          <w:color w:val="000000"/>
          <w:sz w:val="24"/>
          <w:szCs w:val="24"/>
        </w:rPr>
        <w:t>Makalah Lokakarya Nasional Metodologi Penelitian di Universitas Islam Malang (UNISMA) 11- 13 Nopember l997.</w:t>
      </w:r>
    </w:p>
    <w:p w:rsid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  <w:r w:rsidRPr="00F6156E">
        <w:rPr>
          <w:sz w:val="24"/>
          <w:szCs w:val="24"/>
        </w:rPr>
        <w:t xml:space="preserve">Igrea Siswanto &amp; Sri Lestari, </w:t>
      </w:r>
      <w:r w:rsidRPr="00F6156E">
        <w:rPr>
          <w:i/>
          <w:sz w:val="24"/>
          <w:szCs w:val="24"/>
        </w:rPr>
        <w:t>Pembelajaran Atraktif dan 100 Permainan Kreatif,</w:t>
      </w:r>
      <w:r w:rsidRPr="00F6156E">
        <w:rPr>
          <w:sz w:val="24"/>
          <w:szCs w:val="24"/>
        </w:rPr>
        <w:t xml:space="preserve"> Yogyakarta: Penerbit Andi, 2012</w:t>
      </w:r>
    </w:p>
    <w:p w:rsid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  <w:r w:rsidRPr="00F6156E">
        <w:rPr>
          <w:sz w:val="24"/>
          <w:szCs w:val="24"/>
        </w:rPr>
        <w:t xml:space="preserve">Iqrea Siswanto dan Sri Lestari, Yogyakarta: Andi 2012. </w:t>
      </w:r>
    </w:p>
    <w:p w:rsidR="00F6156E" w:rsidRP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  <w:r w:rsidRPr="00F6156E">
        <w:rPr>
          <w:color w:val="000000"/>
          <w:sz w:val="24"/>
          <w:szCs w:val="24"/>
        </w:rPr>
        <w:lastRenderedPageBreak/>
        <w:t xml:space="preserve">Kaelan, </w:t>
      </w:r>
      <w:r w:rsidRPr="00F6156E">
        <w:rPr>
          <w:i/>
          <w:iCs/>
          <w:color w:val="000000"/>
          <w:sz w:val="24"/>
          <w:szCs w:val="24"/>
        </w:rPr>
        <w:t>Metode Penelitian Kualitatif Bidang  Filsafat,</w:t>
      </w:r>
      <w:r w:rsidRPr="00F6156E">
        <w:rPr>
          <w:color w:val="000000"/>
          <w:sz w:val="24"/>
          <w:szCs w:val="24"/>
        </w:rPr>
        <w:t xml:space="preserve"> Yogyakarta: Paradigma, 2005.</w:t>
      </w:r>
      <w:r w:rsidRPr="00F6156E">
        <w:rPr>
          <w:bCs/>
          <w:color w:val="000000"/>
          <w:sz w:val="24"/>
          <w:szCs w:val="24"/>
        </w:rPr>
        <w:t>.</w:t>
      </w:r>
    </w:p>
    <w:p w:rsid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  <w:r w:rsidRPr="00F6156E">
        <w:rPr>
          <w:sz w:val="24"/>
          <w:szCs w:val="24"/>
        </w:rPr>
        <w:t xml:space="preserve">Kelvin Seifert, </w:t>
      </w:r>
      <w:r w:rsidRPr="00F6156E">
        <w:rPr>
          <w:i/>
          <w:sz w:val="24"/>
          <w:szCs w:val="24"/>
        </w:rPr>
        <w:t>Pedoman Pembelajaran &amp; Instruksi Pendidikan</w:t>
      </w:r>
      <w:r w:rsidRPr="00F6156E">
        <w:rPr>
          <w:sz w:val="24"/>
          <w:szCs w:val="24"/>
        </w:rPr>
        <w:t>, Yogyakarta: JRCISOD, 2012</w:t>
      </w:r>
    </w:p>
    <w:p w:rsid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  <w:r w:rsidRPr="00F6156E">
        <w:rPr>
          <w:sz w:val="24"/>
          <w:szCs w:val="24"/>
        </w:rPr>
        <w:t xml:space="preserve">Lisya Chairani dan Subandi, </w:t>
      </w:r>
      <w:r w:rsidRPr="00F6156E">
        <w:rPr>
          <w:i/>
          <w:sz w:val="24"/>
          <w:szCs w:val="24"/>
        </w:rPr>
        <w:t>Psikologi Santri Penghafal Al-Qur’an</w:t>
      </w:r>
      <w:r w:rsidRPr="00F6156E">
        <w:rPr>
          <w:sz w:val="24"/>
          <w:szCs w:val="24"/>
        </w:rPr>
        <w:t>, Yogyakarta: Pustaka Pelajar, 2010.</w:t>
      </w:r>
    </w:p>
    <w:p w:rsid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  <w:r w:rsidRPr="00F6156E">
        <w:rPr>
          <w:sz w:val="24"/>
          <w:szCs w:val="24"/>
        </w:rPr>
        <w:t xml:space="preserve">Mohammad Djauhar, </w:t>
      </w:r>
      <w:r w:rsidRPr="00F6156E">
        <w:rPr>
          <w:i/>
          <w:sz w:val="24"/>
          <w:szCs w:val="24"/>
        </w:rPr>
        <w:t>Implementasi Paikem</w:t>
      </w:r>
      <w:r w:rsidRPr="00F6156E">
        <w:rPr>
          <w:sz w:val="24"/>
          <w:szCs w:val="24"/>
        </w:rPr>
        <w:t xml:space="preserve">, Jakarta : Prestasi Pustakaraya, 2011, </w:t>
      </w:r>
    </w:p>
    <w:p w:rsid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  <w:r w:rsidRPr="00F6156E">
        <w:rPr>
          <w:sz w:val="24"/>
          <w:szCs w:val="24"/>
        </w:rPr>
        <w:t xml:space="preserve"> Muhammad Thobroni &amp; Arif Mustofa. </w:t>
      </w:r>
      <w:r w:rsidRPr="00F6156E">
        <w:rPr>
          <w:i/>
          <w:sz w:val="24"/>
          <w:szCs w:val="24"/>
        </w:rPr>
        <w:t>Belajar &amp; Pembelajaran</w:t>
      </w:r>
      <w:r w:rsidRPr="00F6156E">
        <w:rPr>
          <w:sz w:val="24"/>
          <w:szCs w:val="24"/>
        </w:rPr>
        <w:t>, Yogyakart</w:t>
      </w:r>
      <w:r w:rsidRPr="00F6156E">
        <w:rPr>
          <w:sz w:val="24"/>
          <w:szCs w:val="24"/>
        </w:rPr>
        <w:t>a: Ar-Ruzz Media, 2011</w:t>
      </w:r>
    </w:p>
    <w:p w:rsid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  <w:r w:rsidRPr="00F6156E">
        <w:rPr>
          <w:sz w:val="24"/>
          <w:szCs w:val="24"/>
        </w:rPr>
        <w:t xml:space="preserve">Muhibbinsyah, </w:t>
      </w:r>
      <w:r w:rsidRPr="00F6156E">
        <w:rPr>
          <w:i/>
          <w:sz w:val="24"/>
          <w:szCs w:val="24"/>
        </w:rPr>
        <w:t>Psikologi Belajar</w:t>
      </w:r>
      <w:r w:rsidRPr="00F6156E">
        <w:rPr>
          <w:sz w:val="24"/>
          <w:szCs w:val="24"/>
        </w:rPr>
        <w:t xml:space="preserve">, Ciputat Jakarta: PT Logos Wacana Ilmu, 1999. </w:t>
      </w:r>
    </w:p>
    <w:p w:rsid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  <w:r w:rsidRPr="00F6156E">
        <w:rPr>
          <w:sz w:val="24"/>
          <w:szCs w:val="24"/>
        </w:rPr>
        <w:t xml:space="preserve">Oemar Hamalik, </w:t>
      </w:r>
      <w:r w:rsidRPr="00F6156E">
        <w:rPr>
          <w:i/>
          <w:sz w:val="24"/>
          <w:szCs w:val="24"/>
        </w:rPr>
        <w:t>Psikologi Belajar dan Mengajar</w:t>
      </w:r>
      <w:r w:rsidRPr="00F6156E">
        <w:rPr>
          <w:sz w:val="24"/>
          <w:szCs w:val="24"/>
        </w:rPr>
        <w:t xml:space="preserve">, Jakarta : Sinar Baru Algesindo, 2000, </w:t>
      </w:r>
    </w:p>
    <w:p w:rsidR="00F6156E" w:rsidRDefault="00F6156E" w:rsidP="00F6156E">
      <w:pPr>
        <w:pStyle w:val="FootnoteText"/>
        <w:ind w:left="567" w:hanging="567"/>
        <w:rPr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rPr>
          <w:sz w:val="24"/>
          <w:szCs w:val="24"/>
        </w:rPr>
      </w:pPr>
      <w:r w:rsidRPr="00F6156E">
        <w:rPr>
          <w:sz w:val="24"/>
          <w:szCs w:val="24"/>
        </w:rPr>
        <w:t>Panduan Akademik IAIN Purwokerto 2015 - 2016, Purwokerto : STAIN Press</w:t>
      </w:r>
    </w:p>
    <w:p w:rsid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  <w:r w:rsidRPr="00F6156E">
        <w:rPr>
          <w:sz w:val="24"/>
          <w:szCs w:val="24"/>
        </w:rPr>
        <w:t xml:space="preserve">Ridhoul Wahidi dan M. Syukron Maksum, </w:t>
      </w:r>
      <w:r w:rsidRPr="00F6156E">
        <w:rPr>
          <w:i/>
          <w:sz w:val="24"/>
          <w:szCs w:val="24"/>
        </w:rPr>
        <w:t>Beli Surga dengan Al-Qur’an</w:t>
      </w:r>
      <w:r w:rsidRPr="00F6156E">
        <w:rPr>
          <w:sz w:val="24"/>
          <w:szCs w:val="24"/>
        </w:rPr>
        <w:t>, Yogyakarta: Mutiara Media, 2013</w:t>
      </w:r>
    </w:p>
    <w:p w:rsid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  <w:r w:rsidRPr="00F6156E">
        <w:rPr>
          <w:sz w:val="24"/>
          <w:szCs w:val="24"/>
        </w:rPr>
        <w:t xml:space="preserve">Rusman dkk. </w:t>
      </w:r>
      <w:r w:rsidRPr="00F6156E">
        <w:rPr>
          <w:i/>
          <w:sz w:val="24"/>
          <w:szCs w:val="24"/>
        </w:rPr>
        <w:t>Pembelajaran Berbasis Teknologi Informasi dan Komunikasi</w:t>
      </w:r>
      <w:r w:rsidRPr="00F6156E">
        <w:rPr>
          <w:sz w:val="24"/>
          <w:szCs w:val="24"/>
        </w:rPr>
        <w:t>, Jakarta: PT. Raja Grafindo Persada, 2011</w:t>
      </w:r>
    </w:p>
    <w:p w:rsid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  <w:r w:rsidRPr="00F6156E">
        <w:rPr>
          <w:sz w:val="24"/>
          <w:szCs w:val="24"/>
        </w:rPr>
        <w:t xml:space="preserve">Rusman dkk., </w:t>
      </w:r>
      <w:r w:rsidRPr="00F6156E">
        <w:rPr>
          <w:i/>
          <w:sz w:val="24"/>
          <w:szCs w:val="24"/>
        </w:rPr>
        <w:t>Pembelajaran Berbasis Teknologi Informasi dan Komunikasi</w:t>
      </w:r>
      <w:r w:rsidRPr="00F6156E">
        <w:rPr>
          <w:sz w:val="24"/>
          <w:szCs w:val="24"/>
        </w:rPr>
        <w:t xml:space="preserve">, </w:t>
      </w:r>
      <w:r>
        <w:rPr>
          <w:sz w:val="24"/>
          <w:szCs w:val="24"/>
        </w:rPr>
        <w:t>J</w:t>
      </w:r>
      <w:r w:rsidRPr="00F6156E">
        <w:rPr>
          <w:sz w:val="24"/>
          <w:szCs w:val="24"/>
        </w:rPr>
        <w:t>akarta : PT Raja Grafindo Persada, 2011</w:t>
      </w:r>
    </w:p>
    <w:p w:rsid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  <w:r w:rsidRPr="00F6156E">
        <w:rPr>
          <w:sz w:val="24"/>
          <w:szCs w:val="24"/>
        </w:rPr>
        <w:t xml:space="preserve">Sa’dulloh, </w:t>
      </w:r>
      <w:r w:rsidRPr="00F6156E">
        <w:rPr>
          <w:i/>
          <w:sz w:val="24"/>
          <w:szCs w:val="24"/>
        </w:rPr>
        <w:t>Cara-Cepat Menghafal Al-Qur’an</w:t>
      </w:r>
      <w:r w:rsidRPr="00F6156E">
        <w:rPr>
          <w:sz w:val="24"/>
          <w:szCs w:val="24"/>
        </w:rPr>
        <w:t xml:space="preserve">, Depok, Jakarta: Gema Insani, 2011. </w:t>
      </w:r>
    </w:p>
    <w:p w:rsidR="00F6156E" w:rsidRDefault="00F6156E" w:rsidP="00F6156E">
      <w:pPr>
        <w:pStyle w:val="FootnoteText"/>
        <w:ind w:left="567" w:hanging="567"/>
        <w:jc w:val="both"/>
        <w:rPr>
          <w:color w:val="000000"/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jc w:val="both"/>
        <w:rPr>
          <w:color w:val="000000"/>
          <w:sz w:val="24"/>
          <w:szCs w:val="24"/>
        </w:rPr>
      </w:pPr>
      <w:r w:rsidRPr="00F6156E">
        <w:rPr>
          <w:color w:val="000000"/>
          <w:sz w:val="24"/>
          <w:szCs w:val="24"/>
        </w:rPr>
        <w:t xml:space="preserve">Sugiono, </w:t>
      </w:r>
      <w:r w:rsidRPr="00F6156E">
        <w:rPr>
          <w:i/>
          <w:iCs/>
          <w:color w:val="000000"/>
          <w:sz w:val="24"/>
          <w:szCs w:val="24"/>
        </w:rPr>
        <w:t>Metode Penelitian Pendidikan,</w:t>
      </w:r>
      <w:r w:rsidRPr="00F6156E">
        <w:rPr>
          <w:color w:val="000000"/>
          <w:sz w:val="24"/>
          <w:szCs w:val="24"/>
        </w:rPr>
        <w:t xml:space="preserve"> Bandung: Alfabeta, 2009</w:t>
      </w:r>
    </w:p>
    <w:p w:rsid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  <w:r w:rsidRPr="00F6156E">
        <w:rPr>
          <w:sz w:val="24"/>
          <w:szCs w:val="24"/>
        </w:rPr>
        <w:t xml:space="preserve">Surya, </w:t>
      </w:r>
      <w:r w:rsidRPr="00F6156E">
        <w:rPr>
          <w:i/>
          <w:sz w:val="24"/>
          <w:szCs w:val="24"/>
        </w:rPr>
        <w:t>Peningkatan Profesionalisme Guru Menghadapi Pendidikan Abad ke-21.</w:t>
      </w:r>
      <w:r w:rsidRPr="00F6156E">
        <w:rPr>
          <w:sz w:val="24"/>
          <w:szCs w:val="24"/>
        </w:rPr>
        <w:t xml:space="preserve"> Organisasi &amp; Profesi, Suara Guru No. 7/1998. </w:t>
      </w:r>
    </w:p>
    <w:p w:rsid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  <w:r w:rsidRPr="00F6156E">
        <w:rPr>
          <w:sz w:val="24"/>
          <w:szCs w:val="24"/>
        </w:rPr>
        <w:t xml:space="preserve">Sutrisno, </w:t>
      </w:r>
      <w:r w:rsidRPr="00F6156E">
        <w:rPr>
          <w:i/>
          <w:sz w:val="24"/>
          <w:szCs w:val="24"/>
        </w:rPr>
        <w:t>Pendidikan Islam yang Menghidupkan</w:t>
      </w:r>
      <w:r w:rsidRPr="00F6156E">
        <w:rPr>
          <w:sz w:val="24"/>
          <w:szCs w:val="24"/>
        </w:rPr>
        <w:t>, Yogyakarta: Kota Kembang, 2008</w:t>
      </w:r>
    </w:p>
    <w:p w:rsid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  <w:r w:rsidRPr="00F6156E">
        <w:rPr>
          <w:sz w:val="24"/>
          <w:szCs w:val="24"/>
        </w:rPr>
        <w:t xml:space="preserve">Suyono dan Hariyanto, </w:t>
      </w:r>
      <w:r w:rsidRPr="00F6156E">
        <w:rPr>
          <w:i/>
          <w:sz w:val="24"/>
          <w:szCs w:val="24"/>
        </w:rPr>
        <w:t>Belajar dan Pembelajaran</w:t>
      </w:r>
      <w:r w:rsidRPr="00F6156E">
        <w:rPr>
          <w:sz w:val="24"/>
          <w:szCs w:val="24"/>
        </w:rPr>
        <w:t xml:space="preserve">, Bandung : PT Remaja Rosdakarya, 2012. </w:t>
      </w:r>
    </w:p>
    <w:p w:rsid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  <w:r w:rsidRPr="00F6156E">
        <w:rPr>
          <w:sz w:val="24"/>
          <w:szCs w:val="24"/>
        </w:rPr>
        <w:t xml:space="preserve">Tim Penyusun Silabus Kurikulum Berbasis Kompetensi Sekolah Tinggi Agama Islam Negeri (STAIN) Purwokerto, </w:t>
      </w:r>
      <w:r w:rsidRPr="00F6156E">
        <w:rPr>
          <w:i/>
          <w:sz w:val="24"/>
          <w:szCs w:val="24"/>
        </w:rPr>
        <w:t xml:space="preserve">Dokumen Silabus Kurikulum Berbasis </w:t>
      </w:r>
      <w:r w:rsidRPr="00F6156E">
        <w:rPr>
          <w:i/>
          <w:sz w:val="24"/>
          <w:szCs w:val="24"/>
        </w:rPr>
        <w:lastRenderedPageBreak/>
        <w:t>Kompetensi Sekolah Tinggi Agama Islam Negeri (STAIN) Purwokerto, 2005</w:t>
      </w:r>
      <w:r w:rsidRPr="00F6156E">
        <w:rPr>
          <w:sz w:val="24"/>
          <w:szCs w:val="24"/>
        </w:rPr>
        <w:t>, hal. lampiran</w:t>
      </w:r>
    </w:p>
    <w:p w:rsidR="00F6156E" w:rsidRDefault="00F6156E" w:rsidP="00F6156E">
      <w:pPr>
        <w:pStyle w:val="FootnoteText"/>
        <w:ind w:left="567" w:hanging="567"/>
        <w:jc w:val="both"/>
        <w:rPr>
          <w:color w:val="000000"/>
          <w:sz w:val="24"/>
          <w:szCs w:val="24"/>
        </w:rPr>
      </w:pPr>
    </w:p>
    <w:p w:rsidR="00F6156E" w:rsidRPr="00F6156E" w:rsidRDefault="00F6156E" w:rsidP="00F6156E">
      <w:pPr>
        <w:pStyle w:val="FootnoteText"/>
        <w:ind w:left="567" w:hanging="567"/>
        <w:jc w:val="both"/>
        <w:rPr>
          <w:sz w:val="24"/>
          <w:szCs w:val="24"/>
        </w:rPr>
      </w:pPr>
      <w:r w:rsidRPr="00F6156E">
        <w:rPr>
          <w:color w:val="000000"/>
          <w:sz w:val="24"/>
          <w:szCs w:val="24"/>
        </w:rPr>
        <w:t xml:space="preserve">Zamroni, </w:t>
      </w:r>
      <w:r w:rsidRPr="00F6156E">
        <w:rPr>
          <w:i/>
          <w:iCs/>
          <w:color w:val="000000"/>
          <w:sz w:val="24"/>
          <w:szCs w:val="24"/>
        </w:rPr>
        <w:t>Paradigma Pendidikan Masa Depan,</w:t>
      </w:r>
      <w:r w:rsidRPr="00F6156E">
        <w:rPr>
          <w:color w:val="000000"/>
          <w:sz w:val="24"/>
          <w:szCs w:val="24"/>
        </w:rPr>
        <w:t xml:space="preserve"> Yogyakarta: Biograf Publising, 2000</w:t>
      </w:r>
    </w:p>
    <w:sectPr w:rsidR="00F6156E" w:rsidRPr="00F6156E" w:rsidSect="00873CA6">
      <w:headerReference w:type="default" r:id="rId7"/>
      <w:pgSz w:w="11907" w:h="16840" w:code="9"/>
      <w:pgMar w:top="2268" w:right="1701" w:bottom="1701" w:left="2268" w:header="720" w:footer="720" w:gutter="0"/>
      <w:pgNumType w:start="7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64B" w:rsidRDefault="009E364B" w:rsidP="00873CA6">
      <w:pPr>
        <w:spacing w:after="0" w:line="240" w:lineRule="auto"/>
      </w:pPr>
      <w:r>
        <w:separator/>
      </w:r>
    </w:p>
  </w:endnote>
  <w:endnote w:type="continuationSeparator" w:id="0">
    <w:p w:rsidR="009E364B" w:rsidRDefault="009E364B" w:rsidP="0087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64B" w:rsidRDefault="009E364B" w:rsidP="00873CA6">
      <w:pPr>
        <w:spacing w:after="0" w:line="240" w:lineRule="auto"/>
      </w:pPr>
      <w:r>
        <w:separator/>
      </w:r>
    </w:p>
  </w:footnote>
  <w:footnote w:type="continuationSeparator" w:id="0">
    <w:p w:rsidR="009E364B" w:rsidRDefault="009E364B" w:rsidP="00873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3460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73CA6" w:rsidRDefault="00873CA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73</w:t>
        </w:r>
        <w:r>
          <w:rPr>
            <w:noProof/>
          </w:rPr>
          <w:fldChar w:fldCharType="end"/>
        </w:r>
      </w:p>
    </w:sdtContent>
  </w:sdt>
  <w:p w:rsidR="00873CA6" w:rsidRDefault="00873C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6E"/>
    <w:rsid w:val="00873CA6"/>
    <w:rsid w:val="009E364B"/>
    <w:rsid w:val="00AE6B24"/>
    <w:rsid w:val="00F6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6E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F6156E"/>
    <w:pPr>
      <w:spacing w:after="0" w:line="240" w:lineRule="auto"/>
    </w:pPr>
    <w:rPr>
      <w:rFonts w:eastAsia="Times New Roman" w:cs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156E"/>
    <w:rPr>
      <w:rFonts w:ascii="Times New Roman" w:eastAsia="Times New Roman" w:hAnsi="Times New Roman" w:cs="Times New Roman"/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6156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73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CA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73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CA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6E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F6156E"/>
    <w:pPr>
      <w:spacing w:after="0" w:line="240" w:lineRule="auto"/>
    </w:pPr>
    <w:rPr>
      <w:rFonts w:eastAsia="Times New Roman" w:cs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156E"/>
    <w:rPr>
      <w:rFonts w:ascii="Times New Roman" w:eastAsia="Times New Roman" w:hAnsi="Times New Roman" w:cs="Times New Roman"/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6156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73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CA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73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CA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TEGUH</dc:creator>
  <cp:lastModifiedBy>TEGUH</cp:lastModifiedBy>
  <cp:revision>2</cp:revision>
  <cp:lastPrinted>2016-08-26T00:32:00Z</cp:lastPrinted>
  <dcterms:created xsi:type="dcterms:W3CDTF">2016-08-26T00:03:00Z</dcterms:created>
  <dcterms:modified xsi:type="dcterms:W3CDTF">2016-08-26T00:38:00Z</dcterms:modified>
</cp:coreProperties>
</file>